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40" w:after="280"/>
        <w:jc w:val="center"/>
      </w:pPr>
      <w:r>
        <w:rPr>
          <w:rFonts w:ascii="DejaVu Sans" w:hAnsi="DejaVu Sans" w:eastAsia="DejaVu Sans"/>
          <w:b/>
          <w:color w:val="000000"/>
          <w:sz w:val="46"/>
        </w:rPr>
        <w:t>第三阶段建立代码仓库和Codex工作环境实施指南</w:t>
      </w:r>
    </w:p>
    <w:p>
      <w:pPr>
        <w:jc w:val="center"/>
      </w:pPr>
      <w:r>
        <w:rPr>
          <w:rFonts w:ascii="DejaVu Sans" w:hAnsi="DejaVu Sans" w:eastAsia="DejaVu Sans"/>
          <w:b/>
          <w:color w:val="1F4E78"/>
          <w:sz w:val="27"/>
        </w:rPr>
        <w:t>面向网络违法有害信息治理的短视频与图片智能识别溯源系统</w:t>
      </w:r>
    </w:p>
    <w:p>
      <w:pPr>
        <w:spacing w:before="560"/>
        <w:jc w:val="center"/>
      </w:pPr>
      <w:r>
        <w:rPr>
          <w:rFonts w:ascii="DejaVu Sans" w:hAnsi="DejaVu Sans" w:eastAsia="DejaVu Sans"/>
          <w:color w:val="666666"/>
          <w:sz w:val="23"/>
        </w:rPr>
        <w:t>项目实施阶段第三阶段</w:t>
      </w:r>
    </w:p>
    <w:p>
      <w:pPr>
        <w:spacing w:before="1320"/>
        <w:jc w:val="center"/>
      </w:pPr>
      <w:r>
        <w:rPr>
          <w:rFonts w:ascii="DejaVu Sans" w:hAnsi="DejaVu Sans" w:eastAsia="DejaVu Sans"/>
          <w:color w:val="666666"/>
          <w:sz w:val="21"/>
        </w:rPr>
        <w:t>版本 1.0    2026年10月</w:t>
      </w:r>
    </w:p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一 基本结论</w:t>
      </w:r>
    </w:p>
    <w:p>
      <w:pPr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第三阶段“建立代码仓库和Codex工作环境”应采用“人工授权与决策、Codex搭建与验证”的协作模式。建议人工承担约30%至40%，负责账号权限、仓库平台、分支策略、网络与安全边界等决策；Codex承担约60%至70%，负责目录创建、配置生成、开发环境搭建、质量工具接入和自动化验证。</w:t>
      </w:r>
    </w:p>
    <w:p>
      <w:pPr>
        <w:spacing w:before="0" w:after="120" w:line="300" w:lineRule="auto"/>
      </w:pPr>
      <w:r>
        <w:rPr>
          <w:rFonts w:ascii="DejaVu Sans" w:hAnsi="DejaVu Sans" w:eastAsia="DejaVu Sans"/>
          <w:b/>
          <w:color w:val="000000"/>
          <w:sz w:val="21"/>
        </w:rPr>
        <w:t>账号、权限、网络、安全边界、分支保护和最终批准必须由人工完成；仓库骨架、开发配置、质量工具、Codex规则、最小工程和自动化验证应主要由Codex完成。</w:t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二 必须由人工完成的工作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1 创建或指定正式代码仓库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确定使用GitLab、GitHub、Gitee还是公安内网代码平台。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确定仓库所属组织、项目名称、可见范围和管理人员。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确定采用Monorepo还是多个独立仓库。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分配项目负责人、开发、测试和运维人员权限。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确认是否允许Codex直接访问仓库。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2 确定权限和安全边界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明确Codex可读取和修改的目录。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明确是否允许创建分支、提交代码、推送远程仓库和创建合并请求。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明确是否允许安装依赖、执行Docker、访问互联网和下载预训练模型。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列出禁止Codex访问的数据、配置和凭据。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3 配置账号与凭据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配置代码仓库账号和SSH Key或访问令牌。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配置内网镜像仓库、制品库和CI Runner。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提供数据库、对象存储及模型仓库的测试访问方式。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凭据通过环境变量、CI Secret或密钥管理系统注入，不得写入仓库或提示词。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4 批准分支和代码评审策略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确定主分支、开发分支及功能分支命名规则。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确定合并审批人数和主分支保护规则。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确定必须通过的CI检查。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明确代码评审和版本发布责任人。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5 提供目标开发环境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提供开发服务器和工作站。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确认操作系统、CPU、内存、GPU、CUDA与驱动。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确认Docker权限、内网代理、软件源和镜像源。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明确存储目录、防火墙和可开放端口。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推荐仓库模式</w:t>
      </w:r>
    </w:p>
    <w:p>
      <w:pPr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本项目建议采用Monorepo，便于统一管理前端、后端、算法服务、共享契约、部署配置和测试。候选仓库名称如下：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short-video-image-traceability</w:t>
      </w:r>
    </w:p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三 适合由Codex完成的工作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1 初始化代码仓库</w:t>
      </w:r>
    </w:p>
    <w:p>
      <w:pPr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在人工批准仓库结构后，Codex可建立以下目录和基础文件：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short-video-image-traceability/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frontend/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backend/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ai-services/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shared-contracts/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data-pipeline/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deploy/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config/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docs/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scripts/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tests/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tools/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.github/或.gitlab/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.env.example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.editorconfig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.gitignore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.pre-commit-config.yaml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CODEOWNERS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AGENTS.md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CONTRIBUTING.md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├── SECURITY.md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└── README.md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2 生成开发环境配置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Python虚拟环境配置、pyproject.toml和依赖锁文件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Node.js版本配置、package.json和前端依赖锁文件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Dockerfile、Docker Compose和VS Code开发容器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环境变量示例和本地开发启动脚本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3 配置代码质量工具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Ruff或Flake8、Black和MyPy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ESLint、Prettier和Stylelint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pre-commit和Commitlint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单元测试覆盖率、依赖漏洞扫描及敏感信息扫描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4 建立Codex工程规则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项目目标和业务边界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已冻结技术基线和目录职责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编码规范、测试要求及接口优先原则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数据安全规则和禁止修改的文件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每个任务完成后的验证命令及输出报告格式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5 建立开发启动脚本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统一初始化、启动、检查、测试、构建和清理命令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为Windows环境提供相应PowerShell脚本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6 建立持续集成基础流水线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代码格式和静态分析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前后端单元测试和接口契约测试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镜像构建、依赖安全扫描和敏感信息扫描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测试报告与构建产物归档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7 生成最小骨架工程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前端首页和健康状态页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后端及算法服务健康检查接口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前端调用后端、后端调用算法服务的示例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配置加载、统一日志、统一错误响应和基础测试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8 自动验证开发环境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Git状态、Python和Node.js版本检查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依赖安装、前后端构建和单元测试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pre-commit、Docker Compose和服务健康检查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契约测试及敏感信息扫描</w:t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统一开发命令示例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make setup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make dev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make lint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make test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make contract-test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make integration-test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make build</w:t>
      </w:r>
    </w:p>
    <w:p>
      <w:pPr>
        <w:spacing w:after="20" w:line="252" w:lineRule="auto"/>
        <w:ind w:left="369"/>
      </w:pPr>
      <w:r>
        <w:rPr>
          <w:rFonts w:ascii="DejaVu Sans" w:hAnsi="DejaVu Sans" w:eastAsia="DejaVu Sans"/>
          <w:color w:val="333333"/>
          <w:sz w:val="18"/>
        </w:rPr>
        <w:t>make clean</w:t>
      </w:r>
    </w:p>
    <w:p>
      <w:pPr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说明：AGENTS.md和CI配置由Codex生成后，必须由技术负责人审核；Runner、Secret和合并门禁仍由人工配置。第三阶段只建立工程骨架，不开发完整业务功能。</w:t>
      </w:r>
    </w:p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四 推荐实施流程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主要负责人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确定仓库平台、仓库名称及管理人员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人工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确定Monorepo或多仓库模式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人工决策，Codex分析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明确网络、安全和Codex权限边界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人工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建立仓库和团队账号权限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人工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根据技术基线设计目录结构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评审目录和分支策略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人工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初始化仓库和基础文件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配置前端、后端和算法开发环境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配置格式化、静态检查和测试工具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编写AGENTS.md等Codex规则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Codex生成，人工审核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建立最小骨架工程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建立本地开发启动命令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建立基础CI流水线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配置Runner、Secret和分支保护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人工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执行自动化验证并形成报告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</w:t>
            </w:r>
          </w:p>
        </w:tc>
      </w:tr>
      <w:tr>
        <w:tc>
          <w:tcPr>
            <w:tcW w:type="dxa" w:w="113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583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验收并冻结开发环境基线</w:t>
            </w:r>
          </w:p>
        </w:tc>
        <w:tc>
          <w:tcPr>
            <w:tcW w:type="dxa" w:w="238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人工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五 人工需要先提供给Codex的信息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代码仓库地址或本地工作目录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已批准的Technical Baseline 1.0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仓库采用Monorepo还是多仓库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前端、后端和算法服务的技术版本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分支和合并策略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Codex可以执行的操作范围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可用的操作系统、Docker、GPU和网络条件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CI平台及Runner条件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内网软件源、镜像源和模型来源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安全扫描和质量门禁要求</w:t>
      </w:r>
    </w:p>
    <w:p>
      <w:pPr>
        <w:spacing w:before="0" w:after="120" w:line="300" w:lineRule="auto"/>
      </w:pPr>
      <w:r>
        <w:rPr>
          <w:rFonts w:ascii="DejaVu Sans" w:hAnsi="DejaVu Sans" w:eastAsia="DejaVu Sans"/>
          <w:b/>
          <w:color w:val="000000"/>
          <w:sz w:val="21"/>
        </w:rPr>
        <w:t>缺少上述条件时，Codex只能生成候选工程模板，不能把当前环境视为正式开发环境基线。</w:t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六 第三阶段交付物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正式Git代码仓库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仓库目录结构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README.md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AGENTS.md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CONTRIBUTING.md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SECURITY.md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CODEOWNERS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.gitignore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.editorconfig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.env.example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前后端和算法服务依赖配置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Dockerfile和Docker Compose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统一开发命令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pre-commit配置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CI流水线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最小骨架工程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自动化测试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环境验证报告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Development Environment Baseline 1.0</w:t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七 完成判定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仓库权限和分支保护已经生效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本地开发环境能够通过统一命令初始化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前端、后端和算法服务能够启动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前端能够访问后端健康接口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后端能够访问算法服务健康接口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格式化、静态检查和单元测试能够运行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CI流水线能够自动执行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仓库中不存在真实密钥和敏感数据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AGENTS.md能够约束后续Codex任务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新开发人员能够依据README独立启动工程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开发环境版本已经形成正式基线</w:t>
      </w:r>
    </w:p>
    <w:p>
      <w:pPr>
        <w:spacing w:before="100" w:after="120" w:line="300" w:lineRule="auto"/>
      </w:pPr>
      <w:r>
        <w:rPr>
          <w:rFonts w:ascii="DejaVu Sans" w:hAnsi="DejaVu Sans" w:eastAsia="DejaVu Sans"/>
          <w:b/>
          <w:color w:val="000000"/>
          <w:sz w:val="21"/>
        </w:rPr>
        <w:t>完成上述检查并经人工批准后，方可把Development Environment Baseline 1.0作为后续批量Codex开发任务的统一工作环境。</w:t>
      </w:r>
    </w:p>
    <w:sectPr w:rsidR="00FC693F" w:rsidRPr="0006063C" w:rsidSect="00034616">
      <w:footerReference w:type="default" r:id="rId9"/>
      <w:pgSz w:w="12240" w:h="15840"/>
      <w:pgMar w:top="1077" w:right="1162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color w:val="666666"/>
        <w:sz w:val="17"/>
      </w:rPr>
      <w:t xml:space="preserve">第三阶段建立代码仓库和Codex工作环境实施指南    第 </w:t>
    </w:r>
    <w:fldSimple w:instr="PAGE"/>
    <w:r>
      <w:rPr>
        <w:rFonts w:ascii="DejaVu Sans" w:hAnsi="DejaVu Sans" w:eastAsia="DejaVu Sans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第三阶段建立代码仓库和Codex工作环境实施指南</dc:title>
  <dc:subject>短视频与图片智能识别溯源系统项目实施第三阶段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