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40" w:after="280"/>
        <w:jc w:val="center"/>
      </w:pPr>
      <w:r>
        <w:rPr>
          <w:rFonts w:ascii="DejaVu Sans" w:hAnsi="DejaVu Sans" w:eastAsia="DejaVu Sans"/>
          <w:b/>
          <w:color w:val="000000"/>
          <w:sz w:val="46"/>
        </w:rPr>
        <w:t>第二阶段系统技术基线分步提示词手册</w:t>
      </w:r>
    </w:p>
    <w:p>
      <w:pPr>
        <w:jc w:val="center"/>
      </w:pPr>
      <w:r>
        <w:rPr>
          <w:rFonts w:ascii="DejaVu Sans" w:hAnsi="DejaVu Sans" w:eastAsia="DejaVu Sans"/>
          <w:b/>
          <w:color w:val="1F4E78"/>
          <w:sz w:val="27"/>
        </w:rPr>
        <w:t>面向网络违法有害信息治理的短视频与图片智能识别溯源系统</w:t>
      </w:r>
    </w:p>
    <w:p>
      <w:pPr>
        <w:spacing w:before="520"/>
        <w:jc w:val="center"/>
      </w:pPr>
      <w:r>
        <w:rPr>
          <w:rFonts w:ascii="DejaVu Sans" w:hAnsi="DejaVu Sans" w:eastAsia="DejaVu Sans"/>
          <w:color w:val="666666"/>
          <w:sz w:val="23"/>
        </w:rPr>
        <w:t>供项目负责人 技术负责人 架构师与Codex协同使用</w:t>
      </w:r>
    </w:p>
    <w:p>
      <w:pPr>
        <w:spacing w:before="1400"/>
        <w:jc w:val="center"/>
      </w:pPr>
      <w:r>
        <w:rPr>
          <w:rFonts w:ascii="DejaVu Sans" w:hAnsi="DejaVu Sans" w:eastAsia="DejaVu Sans"/>
          <w:color w:val="666666"/>
          <w:sz w:val="21"/>
        </w:rPr>
        <w:t>版本 1.0    2026年10月</w:t>
      </w:r>
    </w:p>
    <w:p>
      <w:r>
        <w:br w:type="page"/>
      </w:r>
    </w:p>
    <w:p>
      <w:pPr>
        <w:pStyle w:val="Heading1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一 使用说明</w:t>
      </w:r>
    </w:p>
    <w:p>
      <w:pPr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本手册严格按照此前确定的23个步骤整理“确定系统技术基线”提示词，不重新拆分或增加步骤。每一步均给出责任分工、必要输入、目标产物、可直接复制到Codex的提示词和人工验收标准。执行方式不是让Codex自行决定所有技术，而是由Codex完成材料归纳、候选比较、配置生成和验证，由技术负责人作出技术决定，项目负责人批准冻结。</w:t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本次修订说明</w:t>
      </w:r>
    </w:p>
    <w:p>
      <w:pPr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上一版将“资源清单”和“团队能力及责任边界”拆成两个独立步骤，导致总数变为24步，与此前提示词结构不一致。本版已将二者恢复为同一项输入基线工作，并同步校正后续步骤编号、执行批次和完成检查表；提示词内容只做执行性补充，不改变原有技术决策边界。</w:t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建议使用方法</w:t>
      </w:r>
    </w:p>
    <w:p>
      <w:pPr>
        <w:pStyle w:val="ListNumber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先完成步骤1至3，补齐环境约束、资源、团队能力和非功能需求。</w:t>
      </w:r>
    </w:p>
    <w:p>
      <w:pPr>
        <w:pStyle w:val="ListNumber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步骤4至16可按领域并行形成候选ADR，但相互依赖的版本和部署结论应统一评审。</w:t>
      </w:r>
    </w:p>
    <w:p>
      <w:pPr>
        <w:pStyle w:val="ListNumber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步骤17至21负责版本、规范、契约、PoC和持续集成，应在主要选型获得原则同意后开展。</w:t>
      </w:r>
    </w:p>
    <w:p>
      <w:pPr>
        <w:pStyle w:val="ListNumber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步骤22形成评审包；步骤23必须在取得明确批准记录后执行。</w:t>
      </w:r>
    </w:p>
    <w:p>
      <w:pPr>
        <w:pStyle w:val="ListNumber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每次运行提示词时，将“统一前置提示词”放在最前，再附对应步骤提示词和本次具体输入。</w:t>
      </w:r>
    </w:p>
    <w:p>
      <w:pPr>
        <w:pStyle w:val="Heading1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二 角色与状态约定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状态或角色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技术结论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候选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Codex提出，尚未评审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技术结论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待评审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材料完整，等待技术会议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技术结论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已批准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有明确批准记录，可纳入基线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技术结论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已废弃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保留原因和替代项，不再使用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角色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Codex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整理、比较、生成、验证和报告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角色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技术负责人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主持选型并批准技术结论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角色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项目负责人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批准基线版本和重大变更</w:t>
            </w:r>
          </w:p>
        </w:tc>
      </w:tr>
      <w:tr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角色</w:t>
            </w:r>
          </w:p>
        </w:tc>
        <w:tc>
          <w:tcPr>
            <w:tcW w:type="dxa" w:w="175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安全/运维/算法负责人</w:t>
            </w:r>
          </w:p>
        </w:tc>
        <w:tc>
          <w:tcPr>
            <w:tcW w:type="dxa" w:w="578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对本专业约束与结果签字确认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1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三 统一前置提示词</w:t>
      </w:r>
    </w:p>
    <w:p>
      <w:pPr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0"/>
        </w:rPr>
        <w:t>以下内容建议在每个独立Codex任务开始时粘贴一次，用于统一工作边界。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你正在参与“面向网络违法有害信息治理的短视频与图片智能识别溯源系统”建设。当前处于项目实施第二阶段：确定系统技术基线。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工作原则：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1. 只依据仓库中的已确认材料和本次输入工作，不得臆造内网环境、采购条件、国产化要求、性能指标或最终技术决定。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2. 对未知项明确标注“待确认”，并列出确认责任人和对后续工作的影响。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3. 技术选型先给出候选方案、比较依据和推荐理由，不得替代技术负责人作最终决策。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4. 所有结论必须可追溯到输入文件、评审决定、兼容性验证或最小可运行工程。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5. 不得写入真实账号、口令、密钥、个人信息和涉案数据；配置使用占位符和.env.example。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6. 不擅自修改已批准文件。若发现冲突，先列出差异、影响和建议处理方式。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7. 输出中文文档；代码、接口、配置项和目录名采用工程约定的英文命名。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8. 完成后必须报告：新增或修改文件、关键结论、自动化验证结果、未决问题、需要人工批准的事项。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通用输出要求：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- 文档存放到约定目录；Markdown标题层级清晰；表格只用于需要横向比较的内容。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- 技术结论注明状态：候选、待评审、已批准或已废弃。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- 给出可执行命令时同时说明运行目录、前置条件、预期结果和失败排查方法。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- 若任务涉及代码或配置，先检查现有仓库结构和约束，再进行最小范围修改，并运行相关测试。</w:t>
      </w:r>
    </w:p>
    <w:p>
      <w:pPr>
        <w:pStyle w:val="Heading1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四 分步提示词</w:t>
      </w:r>
    </w:p>
    <w:p>
      <w:pPr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下列提示词可直接使用。方括号内容需要项目组替换为实际路径、版本、评审结论或环境信息。</w:t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 收集并结构化部署环境约束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人工提供原始信息，Codex整理；技术负责人确认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项目部署地点、网络区划、互联网访问、离线要求、现有容器平台、高可用要求、统一认证和日志审计要求。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docs/02-architecture/environment-constraints.md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请检查项目资料和现有仓库，整理部署环境约束并创建docs/02-architecture/environment-constraints.md。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至少覆盖：部署区域与网络边界、是否可访问互联网、镜像和依赖如何导入、操作系统限制、容器和编排平台、域名与证书、统一身份认证、日志审计、时间同步、备份介质、容灾与高可用、允许和禁止的软件组件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每项使用“已确认/待确认/不适用”标识，并记录信息来源、确认责任人、计划确认时间和对设计的影响。不要根据经验补齐未知条件。最后生成“阻塞技术选型的问题清单”。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所有关键环境项均有状态和来源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未知项没有被擅自假设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阻塞问题能对应到后续技术决策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步骤2 建立资源与团队能力清单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运维和各技术负责人提供数据，Codex规范化；项目负责人确认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服务器、GPU、CPU、内存、磁盘、网络、操作系统、驱动、CUDA、共享存储，以及前端、后端、算法、测试、运维和安全人员能力与职责。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docs/02-architecture/resource-and-team-inventory.md和config/hardware-inventory.example.yaml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请根据人工提供的设备资料和团队资料，建立资源与团队能力清单，创建docs/02-architecture/resource-and-team-inventory.md和config/hardware-inventory.example.yaml。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第一部分为软硬件资源。逐台记录设备用途候选、CPU架构与核心数、内存、GPU型号与显存、磁盘类型与容量、网卡、操作系统、内核、GPU驱动、CUDA、容器运行时、节点互联、共享存储和当前占用情况。对3台深度学习服务器、3台大模型一体机、RTX 3080与RTX 3090工作站、鲲鹏920服务器分别登记。不得把已有设备直接认定为正式生产设备。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第二部分为团队能力与责任。按前端、后端、算法、数据、测试、运维、安全和项目管理列出角色、熟悉技术、可承担任务、需培训内容、故障响应责任及关键岗位备份；使用RACI方式标记技术决策、代码评审、模型发布、数据审批、生产部署、漏洞处置和备份恢复的负责者与批准者。人员姓名未知时使用角色占位符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执行一致性检查，指出缺失字段、GPU软件栈冲突、关键岗位缺口及其对技术选型的影响。配置示例不得包含IP、账号、序列号或人员隐私。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设备逐台登记并区分开发、训练和生产候选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GPU软件栈字段完整且冲突已标记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关键活动有负责与批准角色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不虚构人员信息，敏感字段使用占位符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步骤3 建立非功能需求和验收指标草案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Codex整理，客户和项目负责人定值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申报书、设计方案、合同或验收要求中的性能、安全、可靠性指标。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docs/02-architecture/non-functional-requirements.md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请从现有项目资料提取非功能需求，创建docs/02-architecture/non-functional-requirements.md。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按性能、容量、并发、响应时间、模型推理时延、可用性、可靠性、可维护性、可观测性、安全、隐私、国产化、备份恢复和离线部署分类。每项记录指标定义、测量口径、目标值、来源、验证环境、验证方法和批准状态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资料中没有明确值的项目只能给出“建议测量方法”和“待客户确认”，不得把建议值写成验收承诺。识别相互冲突或无法测量的指标。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指标具有测量口径和来源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建议值与正式值明确区分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冲突与空缺已列出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步骤4 设计候选总体技术架构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Codex提出候选，架构师评审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环境约束、资源清单、功能范围和非功能需求。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docs/02-architecture/technology-options.md中的总体架构章节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基于已确认约束提出2至3种总体技术架构候选，例如模块化单体加独立算法服务、领域微服务、分层服务加异步任务。对每种方案说明组件边界、同步与异步调用、数据归属、部署单元、扩展方式、故障隔离、离线部署难度和运维成本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结合本项目一期范围和团队能力给出推荐方案及适用前提，但保持状态为“待评审”。同时列出不推荐方案及原因。不要生成业务代码。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至少两个可比较候选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推荐结论有前提和风险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架构边界能覆盖前后端与算法服务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步骤5 比较并推荐前端技术栈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Codex比较，前端负责人决策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界面原型、浏览器环境、团队技能、离线部署限制。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ADR-001-frontend-stack.md草案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请比较Vue 3与React在本项目中的适用性，并评估TypeScript、Vite、Element Plus或同类组件库、ECharts、状态管理、路由、权限指令和前端测试框架。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比较学习成本、复杂检索界面、视频和图片预览、关系图展示、离线依赖管理、长期维护、许可证和测试生态。输出ADR草案，包含候选、推荐、代价、风险、版本范围和验证计划，状态设为“待批准”。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覆盖本项目交互特点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依赖许可风险已记录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ADR状态不是已批准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步骤6 比较并推荐后端技术栈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Codex比较，后端负责人决策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接口规模、算法团队语言、并发与安全要求。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ADR-002-backend-stack.md草案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请比较Python FastAPI与Java Spring Boot作为业务后端的适用性，并评估Pydantic、SQLAlchemy、Alembic、异步任务、接口文档、鉴权、测试和观测能力。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重点分析与Python算法服务协作、性能边界、团队维护成本、类型安全、离线构建、漏洞修复和国产化环境适配。允许推荐“业务后端与算法服务分离”的混合方案。生成ADR草案和最小验证项，不要直接冻结版本。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比较维度完整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业务后端与模型服务边界清楚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给出可验证的决策条件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步骤7 确定关系数据库与数据访问基线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Codex提出方案，数据库负责人批准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业务实体、事务要求、国产化约束、备份恢复目标。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ADR-003-relational-database.md草案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请评估PostgreSQL作为案件、任务、素材元数据、用户权限、审核记录和审计数据主库的适用性，并在存在国产数据库要求时列出迁移候选和兼容风险。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明确事务边界、JSON字段使用原则、主键策略、时区、字符集、迁移工具、连接池、读写分离是否需要、备份恢复和审计要求。输出ADR草案及数据库最小验证清单。未确认的容量和高可用拓扑保持待定。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业务主数据归属明确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备份恢复与迁移被覆盖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国产化要求未被擅自假定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步骤8 确定对象存储基线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Codex比较，架构和运维负责人批准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原始图片、视频、关键帧、转码文件和报告的容量及保存要求。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ADR-004-object-storage.md草案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请比较MinIO、现有兼容S3存储和文件系统在本项目中的适用性。重点分析大文件、分片上传、断点续传、对象版本、生命周期、病毒扫描、访问控制、加密、校验、防篡改、备份恢复、离线部署和运维成本。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定义业务数据库只保存对象标识和元数据的原则，提出桶命名、对象键、临时文件和留存策略草案。生成ADR和PoC验收项，不接入真实涉案素材。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数据库与对象存储职责分离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素材安全和完整性要求完整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PoC使用模拟数据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步骤9 确定缓存和消息队列基线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Codex比较，后端和运维负责人批准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任务编排、长耗时分析、重试、削峰和进度通知需求。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ADR-005-cache-and-messaging.md草案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请评估Redis用于缓存、分布式锁或短期状态，以及RabbitMQ与Kafka用于异步任务和事件流的适用性。区分“任务命令”“领域事件”“实时进度”三类消息。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比较吞吐量、消息顺序、确认机制、重试、死信、幂等、积压处理、运维复杂度和离线部署。推荐一期最小方案和升级条件，定义消息信封基础字段。输出ADR草案和验证场景。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缓存与持久化状态边界清楚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失败重试和幂等有设计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推荐方案含升级条件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步骤10 确定全文与向量检索基线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Codex比较，算法、后端和运维共同评审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OCR/ASR文本量、图像向量量、检索延迟和运维条件。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ADR-006-search-and-vector-database.md草案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请分别评估OpenSearch用于全文检索，以及Milvus、pgvector、OpenSearch向量检索用于图片和视频关键帧相似检索的适用性。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比较预估规模、索引方式、混合检索、过滤能力、性能、数据一致性、重建索引、备份恢复、Python支持、离线安装、国产化和运维成本。说明向量库中的业务主键如何回指PostgreSQL。输出推荐及触发替换方案的阈值，但不得虚构向量规模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全文与向量检索分开论证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业务主数据仍有唯一归属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容量未知时给出测算方法而非假数值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步骤11 确定传播关系存储与分析方案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Codex提出分阶段方案，架构师批准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传播节点、边类型、查询深度、可视化和溯源需求。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ADR-007-graph-storage.md草案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请比较PostgreSQL关系表、递归查询与Neo4j在传播路径、相似素材关联和源头线索分析中的适用性。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给出一期是否暂不引入图数据库的判断依据，明确何种查询复杂度、数据量或性能问题出现时再引入Neo4j。定义节点、边、证据引用和版本字段的概念模型。输出ADR草案和基准测试设计。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一期和演进方案均清楚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引入新组件有量化触发条件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证据引用可追溯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步骤12 确定算法训练框架与实验管理基线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Codex整理，算法负责人批准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现有算法任务、GPU环境、数据集建设方案和团队习惯。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ADR-008-model-training-stack.md及ai-services/README草案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请为图像分类、目标检测、OCR、ASR、多模态理解、特征提取和溯源算法制定统一训练技术基线。评估PyTorch、Transformers、MMEngine及MLflow等组件的职责与兼容关系。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规定随机种子、数据版本、训练配置、实验记录、指标、检查点、模型卡、许可证、训练日志、可重复性和GPU资源声明。区分“直接采用预训练模型”“微调”“自主训练”。输出ADR草案，不启动真实训练。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不同算法任务可共享统一规范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实验可追踪和复现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预训练/微调/自研边界明确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步骤13 确定模型推理服务基线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Codex比较，算法和平台负责人批准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模型格式、并发、时延、GPU利用率和发布方式。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ADR-009-model-serving.md和统一推理接口草案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请比较普通FastAPI模型服务、Triton Inference Server和TorchServe，并给出分层使用建议。定义统一推理请求和响应：request_id、model_name、model_version、input_ref、parameters、results、scores、latency_ms、warnings、error。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覆盖批处理、超时、熔断、显存不足、模型热更新、灰度、回滚、健康检查、指标和日志。生成OpenAPI或JSON Schema草案以及使用假模型的契约测试计划。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统一契约不绑定具体模型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错误和版本字段完整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可用假模型执行契约测试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步骤14 确定视频与媒体处理基线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Codex整理，算法和后端负责人确认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支持的媒体格式、文件大小、抽帧、转码和元数据提取要求。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ADR-010-media-processing.md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请制定FFmpeg与OpenCV媒体处理基线。明确容器格式与编码支持、探测流程、解码失败处理、关键帧抽取、固定间隔抽帧、场景切分、缩略图、音轨提取、方向旋转、时间戳、哈希校验和临时文件清理。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说明外部文件安全检查、资源限制、命令注入防护和超大文件处理。输出统一媒体元数据结构和最小验证样例，样例必须为公开或自建无敏感数据。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媒体处理过程可追踪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安全与资源限制明确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时间戳和哈希字段统一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步骤15 确定安全认证与审计基线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安全负责人定政策，Codex转化为技术控制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网络等级、统一认证、角色、数据分级和审计制度。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docs/02-architecture/security-baseline.md和ADR-011-security.md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根据已确认安全制度形成技术安全基线。覆盖身份认证、RBAC/ABAC选择、最小权限、会话、密码策略或统一认证对接、服务间认证、传输与存储加密、密钥管理、上传文件校验、敏感字段脱敏、操作审计、模型和数据访问审计、漏洞与依赖扫描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不得自行确定等保等级或公安内部制度。对所有未确认的政策项标注待安全负责人确认。列出必须进入接口、数据库、日志和CI的安全控制。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制度和技术控制有映射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未确认的安全等级未被猜测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审计事件覆盖关键业务操作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步骤16 确定容器化与部署编排基线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Codex出方案，运维负责人批准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是否有Kubernetes、离线镜像仓库、节点和高可用条件。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ADR-012-deployment-platform.md及deploy目录草案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请比较Docker Compose和Kubernetes在开发、测试和正式环境中的定位。默认只生成候选方案：开发集成环境使用Docker Compose；正式环境是否采用Kubernetes必须依据现有平台决定。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定义镜像基础层、非root运行、健康检查、资源限制、GPU挂载、配置与密钥、卷、日志、离线镜像包、版本标签和回滚。输出部署拓扑、端口清单草案和最小compose骨架。不得创建真实密钥。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开发与生产部署边界清楚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Kubernetes未被无条件采用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镜像和密钥规则可执行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步骤17 建立版本兼容矩阵与许可证清单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Codex检查，相关负责人共同批准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所有候选组件、目标OS、GPU驱动和构建环境。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compatibility-matrix.md、licenses.md和config/versions.yaml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请建立版本兼容矩阵，覆盖OS、CPU架构、GPU驱动、CUDA、cuDNN、Python、PyTorch、Triton、FastAPI、Pydantic、SQLAlchemy、PostgreSQL、Milvus客户端与服务端、Node.js、Vue、Vite、TypeScript、容器运行时和Kubernetes。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每个版本注明来源、验证状态、约束关系和替代版本。同步生成直接依赖许可证清单，标记需要法务或采购复核的许可证。优先使用现有离线环境可验证的版本；无法联网核实时标记“待现场验证”。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关键依赖关系可追溯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版本状态区分建议与已验证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许可证风险被标记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步骤18 形成编码规范和仓库结构基线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Codex生成，技术负责人批准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已确定语言、框架和模块边界。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docs/03-development/coding-standards.md及仓库目录骨架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请制定本项目编码规范和仓库结构。至少包括frontend、backend、ai-services、shared-contracts、deploy、config、docs、tests和scripts的职责。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规定Python、TypeScript、SQL、YAML、Dockerfile的格式化、静态检查、命名、异常、日志、配置、注释、测试、依赖升级和禁止事项。生成pre-commit或等价检查配置草案。不要搬动现有文件，先输出差异和迁移建议，待确认后再调整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目录职责无重叠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规范能由工具自动检查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不会擅自大规模移动文件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步骤19 建立统一接口和事件契约基线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Codex生成，前后端与算法负责人评审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功能模块、模型服务契约和异步任务设计。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shared-contracts下的OpenAPI、JSON Schema和事件规范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请制定统一API和事件契约规范。定义URL和版本、分页、过滤、排序、错误码、request_id、时间格式、文件引用、任务状态、进度、模型结果、置信度、人工复核状态和审计字段。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为“创建核查任务—上传素材—异步分析—查询进度—查看结果—人工确认”建立最小契约样例；同时定义消息信封和幂等键。仅生成契约与契约测试，不实现完整业务功能。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前后端算法共享同一字段定义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异步状态与错误可表达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契约测试能发现破坏性变更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步骤20 建立并验证最小可运行工程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Codex实现，技术负责人监督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已评审候选基线和统一契约。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可运行的PoC工程、README和docs/02-architecture/technical-validation-report.md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请建立最小验证工程，只验证技术基线的可行性，不开发完整业务功能。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验证范围：前端调用后端健康接口；后端连接PostgreSQL；MinIO上传下载测试对象；Redis读写；消息队列投递和消费；向量库写入100条模拟向量并Top-10检索；GPU容器识别显卡；PyTorch执行一次假数据推理；模型服务返回统一JSON；各服务输出request_id日志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提供一键启动、停止、清理测试数据和自动验证脚本。默认使用模拟数据，禁止真实素材。记录耗时、结果和已知问题。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完成工程搭建后，在当前允许的环境中执行兼容性和端到端验证。记录实际执行命令、环境、开始结束时间、组件版本、通过/失败/未执行状态、日志摘要和证据位置。不得将“未执行”写成“通过”。因缺少GPU、内网软件或权限无法完成的项目，应提供现场验证脚本和明确的判定标准；对失败项分析其属于配置、版本、环境还是方案问题，并提出最小修复建议。将结果写入docs/02-architecture/technical-validation-report.md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验证范围严格受控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能够重复启动和清理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每个组件都有自动化验证结果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验证报告区分通过、失败和未执行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每项结果均有可复核证据或现场验证脚本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步骤21 建立持续集成质量门禁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Codex生成，测试和技术负责人批准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仓库结构、编码规范、依赖和测试框架。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CI配置、质量门禁说明和基础测试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请为项目建立持续集成基线。流水线至少包含格式检查、静态检查、单元测试、契约测试、依赖与许可证扫描、容器构建、镜像漏洞扫描、最小集成测试和构建产物归档。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对GPU测试和大型模型测试使用可选或专用Runner，不让普通提交被硬件缺失阻塞。定义失败即阻断的门禁与仅告警项。密钥通过CI变量注入，日志不得输出秘密。输出本地等价执行命令。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普通提交可在无GPU环境验证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门禁和告警界限明确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CI命令可在本地复现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步骤22 生成技术基线和ADR评审包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Codex汇总，技术负责人评审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全部ADR、兼容矩阵、验证报告、未决问题。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technical-baseline.md、ADR索引、评审议程和决议模板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请汇总技术基线评审包。technical-baseline.md按领域列出已批准选择、候选选择、版本、适用环境、验证证据、已知限制、负责人和变更方式。生成ADR索引并检查每项状态一致。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另生成评审议程和决议记录模板，突出必须由人工决定的事项：正式部署平台、国产化范围、数据库与中间件许可、GPU软件栈、模型正式验收指标、正式资源规模、安全等级和外部网络访问。不得自动把待评审项改为已批准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所有技术选择能追溯到ADR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待决事项集中呈现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状态在多个文件间一致</w:t>
      </w:r>
    </w:p>
    <w:p>
      <w:r>
        <w:br w:type="page"/>
      </w:r>
    </w:p>
    <w:p>
      <w:pPr>
        <w:pStyle w:val="Heading2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步骤23 冻结Technical Baseline 1.0并建立变更机制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责任方式：</w:t>
      </w:r>
      <w:r>
        <w:rPr>
          <w:rFonts w:ascii="DejaVu Sans" w:hAnsi="DejaVu Sans" w:eastAsia="DejaVu Sans"/>
          <w:color w:val="000000"/>
          <w:sz w:val="20"/>
        </w:rPr>
        <w:t>项目负责人批准后，Codex执行固化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必要输入：</w:t>
      </w:r>
      <w:r>
        <w:rPr>
          <w:rFonts w:ascii="DejaVu Sans" w:hAnsi="DejaVu Sans" w:eastAsia="DejaVu Sans"/>
          <w:color w:val="000000"/>
          <w:sz w:val="20"/>
        </w:rPr>
        <w:t>签署或明确批准的评审决议。</w:t>
      </w:r>
    </w:p>
    <w:p>
      <w:pPr>
        <w:spacing w:before="40" w:after="80" w:line="288" w:lineRule="auto"/>
      </w:pPr>
      <w:r>
        <w:rPr>
          <w:rFonts w:ascii="DejaVu Sans" w:hAnsi="DejaVu Sans" w:eastAsia="DejaVu Sans"/>
          <w:b/>
          <w:color w:val="1F4E78"/>
          <w:sz w:val="20"/>
        </w:rPr>
        <w:t>目标产物：</w:t>
      </w:r>
      <w:r>
        <w:rPr>
          <w:rFonts w:ascii="DejaVu Sans" w:hAnsi="DejaVu Sans" w:eastAsia="DejaVu Sans"/>
          <w:color w:val="000000"/>
          <w:sz w:val="20"/>
        </w:rPr>
        <w:t>Technical Baseline 1.0、变更流程、版本标签建议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可直接复制的提示词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已获得项目负责人批准，批准记录位于【填写文件路径或会议纪要编号】。请依据批准内容冻结Technical Baseline 1.0。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只把明确批准的ADR状态改为“已批准”；更新technical-baseline.md、config/versions.yaml、依赖锁文件和基线清单；生成变更申请模板，规定变更原因、影响分析、兼容性验证、回滚方案、批准人和生效版本。输出建议的Git标签和发布说明，但除非得到明确授权，不要创建标签或发布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若批准记录缺失或内容不完整，立即停止冻结操作，仅输出缺失项。</w:t>
      </w:r>
    </w:p>
    <w:p>
      <w:pPr>
        <w:pStyle w:val="Heading3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人工验收标准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冻结依据真实存在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只修改获批项目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建立后续变更与回滚机制</w:t>
      </w:r>
    </w:p>
    <w:p>
      <w:r>
        <w:br w:type="page"/>
      </w:r>
    </w:p>
    <w:p>
      <w:pPr>
        <w:pStyle w:val="Heading1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五 通用复核提示词</w:t>
      </w:r>
    </w:p>
    <w:p>
      <w:pPr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每完成一个批次后，可使用以下提示词对产物做一致性复核。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请对本批次产生的文档、配置和代码进行技术基线一致性复核。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检查项：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1. 是否存在互相矛盾的技术选型、组件版本、端口、目录或接口字段；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2. 是否把“候选”或“待确认”误写为“已批准”；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3. 是否引入了未在ADR中说明的新组件；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4. 是否存在真实密钥、账号、IP、个人信息或涉案数据；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5. 是否有无法在离线环境安装的依赖；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6. 是否缺少许可证、备份恢复、安全审计或国产化适配分析；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7. 是否有代码与OpenAPI、JSON Schema、数据库模型不一致；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8. 是否已运行相关检查和测试，未执行项是否如实记录。</w:t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</w:r>
    </w:p>
    <w:p>
      <w:pPr>
        <w:spacing w:after="44" w:line="269" w:lineRule="auto"/>
        <w:ind w:left="312" w:right="142"/>
      </w:pPr>
      <w:r>
        <w:rPr>
          <w:rFonts w:ascii="DejaVu Sans" w:hAnsi="DejaVu Sans" w:eastAsia="DejaVu Sans"/>
          <w:color w:val="333333"/>
          <w:sz w:val="18"/>
        </w:rPr>
        <w:t>输出四部分：通过项、冲突项、阻塞项、建议修改。不要直接修改已批准文件；对候选文件可提供最小补丁建议。</w:t>
      </w:r>
    </w:p>
    <w:p>
      <w:pPr>
        <w:pStyle w:val="Heading1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六 推荐执行批次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/>
        </w:trPr>
        <w:tc>
          <w:tcPr>
            <w:tcW w:type="dxa" w:w="13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13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进入下一批次条件</w:t>
            </w:r>
          </w:p>
        </w:tc>
      </w:tr>
      <w:tr>
        <w:tc>
          <w:tcPr>
            <w:tcW w:type="dxa" w:w="13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A 约束准备</w:t>
            </w:r>
          </w:p>
        </w:tc>
        <w:tc>
          <w:tcPr>
            <w:tcW w:type="dxa" w:w="13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1—3</w:t>
            </w:r>
          </w:p>
        </w:tc>
        <w:tc>
          <w:tcPr>
            <w:tcW w:type="dxa" w:w="32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明确环境、资源、团队和验收约束</w:t>
            </w:r>
          </w:p>
        </w:tc>
        <w:tc>
          <w:tcPr>
            <w:tcW w:type="dxa" w:w="340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阻塞问题已分派负责人</w:t>
            </w:r>
          </w:p>
        </w:tc>
      </w:tr>
      <w:tr>
        <w:tc>
          <w:tcPr>
            <w:tcW w:type="dxa" w:w="13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B 核心架构</w:t>
            </w:r>
          </w:p>
        </w:tc>
        <w:tc>
          <w:tcPr>
            <w:tcW w:type="dxa" w:w="13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4—11</w:t>
            </w:r>
          </w:p>
        </w:tc>
        <w:tc>
          <w:tcPr>
            <w:tcW w:type="dxa" w:w="32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形成总体架构和数据基础设施候选ADR</w:t>
            </w:r>
          </w:p>
        </w:tc>
        <w:tc>
          <w:tcPr>
            <w:tcW w:type="dxa" w:w="340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核心组件获得原则同意</w:t>
            </w:r>
          </w:p>
        </w:tc>
      </w:tr>
      <w:tr>
        <w:tc>
          <w:tcPr>
            <w:tcW w:type="dxa" w:w="13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C 算法与安全部署</w:t>
            </w:r>
          </w:p>
        </w:tc>
        <w:tc>
          <w:tcPr>
            <w:tcW w:type="dxa" w:w="13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12—16</w:t>
            </w:r>
          </w:p>
        </w:tc>
        <w:tc>
          <w:tcPr>
            <w:tcW w:type="dxa" w:w="32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形成训练、推理、媒体、安全和部署基线</w:t>
            </w:r>
          </w:p>
        </w:tc>
        <w:tc>
          <w:tcPr>
            <w:tcW w:type="dxa" w:w="340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可进入版本兼容验证</w:t>
            </w:r>
          </w:p>
        </w:tc>
      </w:tr>
      <w:tr>
        <w:tc>
          <w:tcPr>
            <w:tcW w:type="dxa" w:w="13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D 工程固化</w:t>
            </w:r>
          </w:p>
        </w:tc>
        <w:tc>
          <w:tcPr>
            <w:tcW w:type="dxa" w:w="13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17—21</w:t>
            </w:r>
          </w:p>
        </w:tc>
        <w:tc>
          <w:tcPr>
            <w:tcW w:type="dxa" w:w="32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锁版本、定规范、建契约、PoC和CI</w:t>
            </w:r>
          </w:p>
        </w:tc>
        <w:tc>
          <w:tcPr>
            <w:tcW w:type="dxa" w:w="340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最小验证工程通过或有现场验证计划</w:t>
            </w:r>
          </w:p>
        </w:tc>
      </w:tr>
      <w:tr>
        <w:tc>
          <w:tcPr>
            <w:tcW w:type="dxa" w:w="130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E 评审冻结</w:t>
            </w:r>
          </w:p>
        </w:tc>
        <w:tc>
          <w:tcPr>
            <w:tcW w:type="dxa" w:w="13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22—23</w:t>
            </w:r>
          </w:p>
        </w:tc>
        <w:tc>
          <w:tcPr>
            <w:tcW w:type="dxa" w:w="328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完成评审与Technical Baseline 1.0冻结</w:t>
            </w:r>
          </w:p>
        </w:tc>
        <w:tc>
          <w:tcPr>
            <w:tcW w:type="dxa" w:w="340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000000"/>
                <w:sz w:val="18"/>
              </w:rPr>
              <w:t>存在明确批准记录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1"/>
        <w:keepNext w:val="0"/>
        <w:spacing w:before="0" w:after="120" w:line="300" w:lineRule="auto"/>
      </w:pPr>
      <w:r>
        <w:rPr>
          <w:rFonts w:ascii="DejaVu Sans" w:hAnsi="DejaVu Sans" w:eastAsia="DejaVu Sans"/>
          <w:b w:val="0"/>
          <w:color w:val="000000"/>
          <w:sz w:val="21"/>
        </w:rPr>
        <w:t>七 技术基线完成检查表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部署环境、网络边界和离线依赖导入方式已明确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开发、测试、训练和生产候选资源已登记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前端、后端、关系数据库、对象存储、缓存、消息、检索和图分析方案已形成ADR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算法训练、模型管理、推理服务和媒体处理基线已形成ADR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安全、审计、数据保护和许可证要求已纳入基线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关键版本已进入兼容矩阵并有验证状态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统一API、事件与模型推理契约可执行契约测试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最小验证工程能重复启动、验证和清理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CI能执行构建、检查、测试与镜像安全检查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所有“已批准”项均有会议纪要或批准记录</w:t>
      </w:r>
    </w:p>
    <w:p>
      <w:pPr>
        <w:pStyle w:val="ListBullet"/>
        <w:spacing w:after="60" w:line="283" w:lineRule="auto"/>
      </w:pPr>
      <w:r>
        <w:rPr>
          <w:rFonts w:ascii="DejaVu Sans" w:hAnsi="DejaVu Sans" w:eastAsia="DejaVu Sans"/>
          <w:color w:val="000000"/>
          <w:sz w:val="20"/>
        </w:rPr>
        <w:t>□ Technical Baseline 1.0具有变更申请、影响分析和回滚机制</w:t>
      </w:r>
    </w:p>
    <w:p>
      <w:pPr>
        <w:keepNext w:val="0"/>
        <w:spacing w:before="100" w:after="120" w:line="300" w:lineRule="auto"/>
      </w:pPr>
      <w:r>
        <w:rPr>
          <w:rFonts w:ascii="DejaVu Sans" w:hAnsi="DejaVu Sans" w:eastAsia="DejaVu Sans"/>
          <w:b/>
          <w:color w:val="000000"/>
          <w:sz w:val="21"/>
        </w:rPr>
        <w:t>只有完成上述检查并保留批准证据后，才应批量启动后续Codex开发任务。</w:t>
      </w:r>
    </w:p>
    <w:sectPr w:rsidR="00FC693F" w:rsidRPr="0006063C" w:rsidSect="00034616">
      <w:footerReference w:type="default" r:id="rId9"/>
      <w:pgSz w:w="12240" w:h="15840"/>
      <w:pgMar w:top="1077" w:right="1162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666666"/>
        <w:sz w:val="17"/>
      </w:rPr>
      <w:t xml:space="preserve">第二阶段系统技术基线分步提示词手册    第 </w:t>
    </w:r>
    <w:fldSimple w:instr="PAGE"/>
    <w:r>
      <w:rPr>
        <w:rFonts w:ascii="DejaVu Sans" w:hAnsi="DejaVu Sans" w:eastAsia="DejaVu Sans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第二阶段系统技术基线分步提示词手册</dc:title>
  <dc:subject>短视频与图片智能识别溯源系统项目实施第二阶段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