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t>第二阶段系统技术基线确定与Codex协作实施指南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28"/>
        </w:rPr>
        <w:t>短视频与图片智能识别溯源系统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项目实施阶段第二阶段</w:t>
      </w:r>
    </w:p>
    <w:p>
      <w:r>
        <w:br w:type="page"/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一 基本结论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第二阶段“确定系统技术基线”应采用“人工决策、Codex整理验证”的方式。与第一阶段相比，本阶段对人工决策的依赖更高。建议人工承担约40%至50%，重点负责技术选型、部署边界和质量门槛；Codex承担约50%至60%，重点负责候选方案比较、兼容性检查、配置生成、最小验证工程和文档固化。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技术基线一旦冻结，将直接约束后续代码、数据库、接口、模型服务和部署环境，因此不能让Codex自主决定后直接投入开发。最终技术选择必须由技术负责人作出，并由项目负责人批准。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二 人工与Codex职责划分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628"/>
        <w:gridCol w:w="3628"/>
      </w:tblGrid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基线内容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Codex负责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人工负责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总体技术架构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生成候选架构并比较优缺点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确定最终架构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前端技术栈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比较Vue和React等方案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选择框架及版本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后端技术栈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比较FastAPI和Spring Boot等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确定语言和框架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关系数据库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分析PostgreSQL等适用性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确定数据库及版本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向量数据库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比较Milvus和pgvector等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确定产品及部署方式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消息队列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比较RabbitMQ和Kafka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确定最终选型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对象存储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生成MinIO配置和验证方案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确定是否采用MinIO或现有存储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图数据存储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比较Neo4j与PostgreSQL方案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确定是否引入新数据库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模型训练框架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生成PyTorch工程规范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确定框架和版本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模型推理框架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比较FastAPI Triton TorchServe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确定推理服务方式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容器与编排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生成Docker和K8s方案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确定是否使用Kubernetes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国产化适配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形成适配清单和风险分析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确定必须适配的软硬件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安全架构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提出技术控制建议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确定等级 部署边界和制度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依赖版本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检查依赖兼容性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批准最终版本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编码规范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生成规范及检查配置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确认采用的规范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CI流水线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生成流水线配置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确定质量门槛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性能指标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提供建议值和测算方法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确定正式验收值</w:t>
            </w:r>
          </w:p>
        </w:tc>
      </w:tr>
      <w:tr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模型阈值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提供校准和验证方法</w:t>
            </w:r>
          </w:p>
        </w:tc>
        <w:tc>
          <w:tcPr>
            <w:tcW w:type="dxa" w:w="324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批准上线阈值</w:t>
            </w:r>
          </w:p>
        </w:tc>
      </w:tr>
    </w:tbl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三 不能完全交给Codex的原因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Codex可以从技术角度给出合理候选方案，但无法自行确定实际建设环境、管理制度和长期维护条件。以下事项必须由项目组确认：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公安内网允许部署哪些基础软件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是否允许使用开源软件及其许可证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是否必须使用国产服务器 操作系统和数据库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现有机房是否已经部署Kubernetes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是否允许引入Neo4j Milvus OpenSearch等组件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是否需要与公安统一身份认证对接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开发团队主要掌握Python Java还是其他语言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后期由谁负责系统运维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是否有采购授权和商业软件预算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最终验收采用什么技术标准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如果缺少上述约束，Codex可能生成技术上可行但无法在目标网络、软硬件和运维条件下落地的方案。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四 推荐协作流程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220"/>
      </w:tblGrid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工作内容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人工提供环境和约束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Codex形成候选技术方案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Codex开展兼容性与风险分析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人工组织技术评审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Codex根据决策生成技术基线文件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Codex建立最小验证工程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运行自动化验证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人工批准并冻结Technical Baseline 1.0</w:t>
            </w:r>
          </w:p>
        </w:tc>
      </w:tr>
    </w:tbl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五 人工需要先提供的信息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建议在docs/02-architecture/environment-constraints.md中形成环境约束清单。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1 部署环境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公安内网 政务云 学校实验室或混合部署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是否允许访问互联网和拉取Docker镜像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是否允许使用Kubernetes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是否已有虚拟化或容器平台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是否必须离线部署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是否需要多节点高可用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2 服务器资源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结合现有资源，可登记3台深度学习服务器、3台大模型一体机、RTX 3080和RTX 3090工作站以及鲲鹏920服务器，并进一步确认GPU型号和显存、操作系统、驱动、CUDA、节点网络、共享存储和正式部署设备。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3 软件限制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允许使用的操作系统和开发语言版本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是否允许PostgreSQL MinIO Milvus OpenSearch Neo4j Redis RabbitMQ和Triton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是否存在国产操作系统 国产数据库或国产中间件要求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开源许可证是否需要专门审核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4 团队技术能力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前端团队熟悉Vue还是React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后端团队熟悉Python还是Java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算法团队是否统一使用PyTorch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运维团队是否掌握Docker和Kubernetes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是否有专职数据库管理员和安全人员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六 Codex适合承担的工作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1 候选技术方案比较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Codex可比较FastAPI与Spring Boot、Vue与React、Milvus与pgvector、RabbitMQ与Kafka、Neo4j与PostgreSQL、Triton与普通FastAPI推理以及Docker Compose与Kubernetes，但应输出比较结果和推荐，不直接宣布最终决策。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2 兼容性检查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Python与PyTorch版本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CUDA 驱动 PyTorch与Triton关系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FastAPI与Pydantic版本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PostgreSQL与SQLAlchemy版本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Milvus客户端与服务端版本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Vue Vite TypeScript与Node.js版本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Kubernetes与容器运行时版本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开源许可证和依赖许可证风险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正式版本冻结应以实际离线环境、硬件驱动和官方兼容矩阵验证结果为准。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3 架构决策记录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Codex可为后端框架、前端框架、关系数据库、向量数据库、消息队列、对象存储、模型服务、容器平台和图数据存储生成ADR。每份ADR包含背景、候选方案、比较维度、最终决策、理由、负面影响、替代方案、适用范围、日期、决策人和状态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4 版本锁定和工程配置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backend/pyproject.toml及锁文件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frontend/package.json及package-lock.json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ai-services运行环境锁定文件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docker-compose.yml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Dockerfile和.env.example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pre-commit配置及CI流水线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5 最小验证工程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前端能够调用后端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后端能够连接PostgreSQL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后端能够访问MinIO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Redis能够读写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消息队列能够投递和消费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GPU容器能够识别显卡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PyTorch能够执行一次推理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模型服务返回统一JSON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日志能够进入监控系统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Docker Compose能够启动全部基础服务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七 单项技术决策执行方法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1 Codex生成比较报告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请比较Milvus、pgvector和OpenSearch向量检索在本项目中的适用性。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已知条件：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需要支持图片和视频关键帧向量检索；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预计后期向量规模较大；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系统需要离线部署；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团队主要使用Python；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需要与PostgreSQL业务数据关联；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项目已有GPU服务器；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- 运维人员数量有限。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请比较检索规模、性能、部署复杂度、运维复杂度、数据一致性、备份恢复、国产化适配、Python支持、开源许可证和项目风险。只给出候选方案和推荐，不要直接形成最终决策。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2 人工组织评审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人工结合实际规模、运维能力、内网软件许可、国产化要求、采购条件和长期维护成本作出决定。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3 Codex生成ADR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技术评审决定采用Milvus作为向量数据库。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请创建docs/02-architecture/architecture-decisions/ADR-004-vector-database.md。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内容包括决策背景、候选方案、最终选择、选择理由、适用范围、主要风险、规避措施、版本要求、备份恢复要求、决策日期、决策人占位符和状态“待批准”。不得补充本次评审未确认的部署规模和性能指标。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4 Codex建立最小验证环境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请根据ADR-004建立Milvus最小验证环境。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当前只验证：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1. Docker Compose能够启动Milvus；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2. Python客户端能够连接；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3. 能够创建测试集合；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4. 能够写入100条模拟向量；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5. 能够执行Top-10检索；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6. 能够删除测试集合；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7. 提供自动化验证脚本；</w:t>
      </w: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8. 不接入真实业务数据。</w:t>
      </w:r>
    </w:p>
    <w:p>
      <w:pPr>
        <w:spacing w:after="20"/>
      </w:pPr>
    </w:p>
    <w:p>
      <w:pPr>
        <w:spacing w:after="60" w:line="276" w:lineRule="auto"/>
        <w:ind w:left="312" w:right="170"/>
      </w:pPr>
      <w:r>
        <w:rPr>
          <w:rFonts w:ascii="Noto Sans CJK SC" w:hAnsi="Noto Sans CJK SC" w:eastAsia="Noto Sans CJK SC"/>
          <w:color w:val="333333"/>
          <w:sz w:val="19"/>
        </w:rPr>
        <w:t>完成后输出环境配置、运行命令、测试结果和已发现问题。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5 人工批准冻结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验证通过后，将ADR状态改为“已批准”，并纳入Technical Baseline 1.0。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八 本项目候选技术基线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技术领域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1F4E7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候选基线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Vue 3 TypeScript Vite Element Plus ECharts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Python FastAPI Pydantic SQLAlchemy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关系数据库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PostgreSQL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Redis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消息队列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RabbitMQ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对象存储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MinIO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全文检索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OpenSearch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向量检索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Milvus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传播关系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一期优先PostgreSQL 复杂图分析再评估Neo4j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模型训练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PyTorch Transformers MMEngine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模型管理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MLflow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视频处理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FFmpeg OpenCV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OCR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PaddleOCR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ASR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Whisper或符合部署要求的语音模型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模型推理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FastAPI推理服务 性能瓶颈模型使用Triton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服务容器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Docker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开发集成环境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Docker Compose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正式部署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根据目标环境决定是否采用Kubernetes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监控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Prometheus Grafana Loki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3F7FB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Pytest Playwright Vitest</w:t>
            </w:r>
          </w:p>
        </w:tc>
      </w:tr>
      <w:tr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持续集成</w:t>
            </w:r>
          </w:p>
        </w:tc>
        <w:tc>
          <w:tcPr>
            <w:tcW w:type="dxa" w:w="487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GitLab CI或现有代码管理平台流水线</w:t>
            </w:r>
          </w:p>
        </w:tc>
      </w:tr>
    </w:tbl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以下内容不能直接冻结：是否采用Kubernetes、是否部署Neo4j、是否必须使用国产数据库、OCR和ASR最终模型、CUDA与PyTorch及Triton版本、模型正式验收指标、正式服务器数量以及是否允许访问外部网络平台。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九 第二阶段交付物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文档与决策记录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docs/02-architecture/environment-constraints.md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docs/02-architecture/technology-options.md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docs/02-architecture/technical-baseline.md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docs/02-architecture/compatibility-matrix.md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docs/02-architecture/system-architecture.md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docs/02-architecture/deployment-architecture.md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docs/02-architecture/architecture-decisions/目录中的ADR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配置与工程文件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config/versions.yaml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config/environments.yaml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config/ports.yaml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backend/pyproject.toml及锁文件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frontend/package.json及锁文件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ai-services运行环境锁定文件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deploy/docker-compose.yml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各服务Dockerfile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deploy/.env.example</w:t>
      </w:r>
    </w:p>
    <w:p>
      <w:pPr>
        <w:pStyle w:val="Heading2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配套成果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技术栈验证报告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软件许可证清单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兼容性检查报告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最小验证工程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技术基线评审记录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Technical Baseline 1.0</w:t>
      </w:r>
    </w:p>
    <w:p>
      <w:pPr>
        <w:pStyle w:val="Heading1"/>
        <w:spacing w:after="120" w:line="300" w:lineRule="auto"/>
        <w:ind w:left="0"/>
      </w:pPr>
      <w:r>
        <w:rPr>
          <w:rFonts w:ascii="Noto Sans CJK SC" w:hAnsi="Noto Sans CJK SC" w:eastAsia="Noto Sans CJK SC"/>
          <w:b w:val="0"/>
          <w:sz w:val="22"/>
        </w:rPr>
        <w:t>十 第二阶段完成判定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部署环境和网络边界已经明确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前端 后端和算法框架已经确定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数据库 对象存储 缓存和消息队列已经确定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关键软件版本已经锁定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最小验证工程能够启动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前端 后端 数据库 存储和消息队列能够连通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GPU容器能够正常识别显卡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模型服务契约已经验证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CI能够完成构建 测试和镜像生成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技术选型已经形成ADR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技术基线已经由项目负责人批准</w:t>
      </w:r>
    </w:p>
    <w:p>
      <w:pPr>
        <w:pStyle w:val="ListBullet"/>
        <w:spacing w:after="60" w:line="288" w:lineRule="auto"/>
      </w:pPr>
      <w:r>
        <w:rPr>
          <w:rFonts w:ascii="Noto Sans CJK SC" w:hAnsi="Noto Sans CJK SC" w:eastAsia="Noto Sans CJK SC"/>
          <w:sz w:val="21"/>
        </w:rPr>
        <w:t>后续技术变更具有审批和记录机制</w:t>
      </w:r>
    </w:p>
    <w:p>
      <w:pPr>
        <w:spacing w:after="120" w:line="300" w:lineRule="auto"/>
        <w:ind w:left="0"/>
      </w:pPr>
      <w:r>
        <w:rPr>
          <w:rFonts w:ascii="Noto Sans CJK SC" w:hAnsi="Noto Sans CJK SC" w:eastAsia="Noto Sans CJK SC"/>
          <w:b/>
          <w:sz w:val="22"/>
        </w:rPr>
        <w:t>只有上述条件基本满足后，才适合批量启动具体Codex开发任务。最终协作模式应为：Codex提出并验证，技术负责人决策，项目负责人批准，Codex固化并执行。</w:t>
      </w:r>
    </w:p>
    <w:sectPr w:rsidR="00FC693F" w:rsidRPr="0006063C" w:rsidSect="00034616">
      <w:footerReference w:type="default" r:id="rId9"/>
      <w:pgSz w:w="12240" w:h="15840"/>
      <w:pgMar w:top="1191" w:right="1219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