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C5E2" w14:textId="77777777" w:rsidR="000E1477" w:rsidRDefault="00000000">
      <w:pPr>
        <w:spacing w:before="120"/>
        <w:jc w:val="center"/>
      </w:pPr>
      <w:r>
        <w:rPr>
          <w:rFonts w:ascii="Calibri" w:eastAsia="微软雅黑" w:hAnsi="Calibri"/>
          <w:b/>
          <w:sz w:val="32"/>
          <w:szCs w:val="32"/>
        </w:rPr>
        <w:t>ETF</w:t>
      </w:r>
      <w:r>
        <w:rPr>
          <w:rFonts w:ascii="Calibri" w:eastAsia="微软雅黑" w:hAnsi="Calibri"/>
          <w:b/>
          <w:sz w:val="32"/>
          <w:szCs w:val="32"/>
        </w:rPr>
        <w:t>报告模板大纲</w:t>
      </w:r>
    </w:p>
    <w:p w14:paraId="5F24644A" w14:textId="77777777" w:rsidR="000E1477" w:rsidRDefault="000E1477"/>
    <w:p w14:paraId="12284806" w14:textId="77777777" w:rsidR="000E1477" w:rsidRDefault="00000000">
      <w:pPr>
        <w:spacing w:before="120" w:after="120"/>
      </w:pPr>
      <w:r>
        <w:rPr>
          <w:rFonts w:ascii="Calibri" w:eastAsia="微软雅黑" w:hAnsi="Calibri"/>
          <w:b/>
          <w:sz w:val="28"/>
          <w:szCs w:val="28"/>
        </w:rPr>
        <w:t>一、通用报告主框架</w:t>
      </w:r>
    </w:p>
    <w:p w14:paraId="2E5FB931" w14:textId="77777777" w:rsidR="000E1477" w:rsidRDefault="000E1477"/>
    <w:p w14:paraId="29504A52" w14:textId="77777777" w:rsidR="000E1477" w:rsidRDefault="00000000">
      <w:pPr>
        <w:spacing w:after="60" w:line="360" w:lineRule="auto"/>
      </w:pPr>
      <w:r>
        <w:rPr>
          <w:rFonts w:ascii="Calibri" w:eastAsia="微软雅黑" w:hAnsi="Calibri"/>
          <w:szCs w:val="22"/>
        </w:rPr>
        <w:t>为保证不同类型</w:t>
      </w:r>
      <w:r>
        <w:rPr>
          <w:rFonts w:ascii="Calibri" w:eastAsia="微软雅黑" w:hAnsi="Calibri"/>
          <w:szCs w:val="22"/>
        </w:rPr>
        <w:t>ETF</w:t>
      </w:r>
      <w:r>
        <w:rPr>
          <w:rFonts w:ascii="Calibri" w:eastAsia="微软雅黑" w:hAnsi="Calibri"/>
          <w:szCs w:val="22"/>
        </w:rPr>
        <w:t>报告在表达方式、分析深度和交付形式上保持一致，建议所有报告统一采用以下七段式结构。该结构既适用于面向配置型资金的深度分析，也适用于面向交易型资金的专题点评，差异主要体现在各部分的展开重点和数据口径上。</w:t>
      </w:r>
    </w:p>
    <w:p w14:paraId="083FE424" w14:textId="77777777" w:rsidR="000E1477" w:rsidRDefault="000E1477"/>
    <w:p w14:paraId="161FDCF9" w14:textId="1CA8C66C" w:rsidR="000E1477" w:rsidRDefault="00000000">
      <w:pPr>
        <w:spacing w:before="100" w:after="100"/>
      </w:pPr>
      <w:r>
        <w:rPr>
          <w:rFonts w:ascii="Calibri" w:eastAsia="微软雅黑" w:hAnsi="Calibri"/>
          <w:b/>
          <w:sz w:val="24"/>
        </w:rPr>
        <w:t xml:space="preserve">1. </w:t>
      </w:r>
      <w:r>
        <w:rPr>
          <w:rFonts w:ascii="Calibri" w:eastAsia="微软雅黑" w:hAnsi="Calibri"/>
          <w:b/>
          <w:sz w:val="24"/>
        </w:rPr>
        <w:t>摘要</w:t>
      </w:r>
    </w:p>
    <w:p w14:paraId="5F6CF028" w14:textId="77777777" w:rsidR="000E1477" w:rsidRDefault="000E1477"/>
    <w:p w14:paraId="7146151B" w14:textId="1658FFF6" w:rsidR="000E1477" w:rsidRDefault="00000000">
      <w:pPr>
        <w:spacing w:after="60" w:line="360" w:lineRule="auto"/>
      </w:pPr>
      <w:r>
        <w:rPr>
          <w:rFonts w:ascii="Calibri" w:eastAsia="微软雅黑" w:hAnsi="Calibri"/>
          <w:szCs w:val="22"/>
        </w:rPr>
        <w:t>摘要建议放在全文最前，直接回答投资者最关心的几个问题，使读者在最短时间内获得报告结论。</w:t>
      </w:r>
    </w:p>
    <w:p w14:paraId="28A4A033" w14:textId="77777777" w:rsidR="000E1477" w:rsidRDefault="000E1477"/>
    <w:p w14:paraId="4EA293E0" w14:textId="20862F8B" w:rsidR="000E1477" w:rsidRDefault="00000000">
      <w:pPr>
        <w:spacing w:after="60" w:line="360" w:lineRule="auto"/>
      </w:pPr>
      <w:r>
        <w:rPr>
          <w:rFonts w:ascii="Calibri" w:eastAsia="微软雅黑" w:hAnsi="Calibri"/>
          <w:szCs w:val="22"/>
        </w:rPr>
        <w:t>回答的核心问题：</w:t>
      </w:r>
    </w:p>
    <w:p w14:paraId="4E0FDFE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当前需要说明该</w:t>
      </w:r>
      <w:r>
        <w:rPr>
          <w:rFonts w:ascii="Calibri" w:eastAsia="微软雅黑" w:hAnsi="Calibri"/>
          <w:szCs w:val="22"/>
        </w:rPr>
        <w:t>ETF</w:t>
      </w:r>
      <w:r>
        <w:rPr>
          <w:rFonts w:ascii="Calibri" w:eastAsia="微软雅黑" w:hAnsi="Calibri"/>
          <w:szCs w:val="22"/>
        </w:rPr>
        <w:t>的研究背景和关注原因。</w:t>
      </w:r>
    </w:p>
    <w:p w14:paraId="520E61F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当前驱动其表现的主导变量是什么。</w:t>
      </w:r>
    </w:p>
    <w:p w14:paraId="0CD1E70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跟踪指数的核心特征、结构特征和潜在局限是什么。</w:t>
      </w:r>
    </w:p>
    <w:p w14:paraId="6B99A3C7"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对应</w:t>
      </w:r>
      <w:r>
        <w:rPr>
          <w:rFonts w:ascii="Calibri" w:eastAsia="微软雅黑" w:hAnsi="Calibri"/>
          <w:szCs w:val="22"/>
        </w:rPr>
        <w:t>ETF</w:t>
      </w:r>
      <w:r>
        <w:rPr>
          <w:rFonts w:ascii="Calibri" w:eastAsia="微软雅黑" w:hAnsi="Calibri"/>
          <w:szCs w:val="22"/>
        </w:rPr>
        <w:t>产品在配置、交易或轮动中的实际功能是什么。</w:t>
      </w:r>
    </w:p>
    <w:p w14:paraId="002D0321" w14:textId="77777777" w:rsidR="000E1477" w:rsidRDefault="000E1477"/>
    <w:p w14:paraId="59DDC9F3" w14:textId="18ADD3E6" w:rsidR="000E1477" w:rsidRDefault="00000000">
      <w:pPr>
        <w:spacing w:after="60" w:line="360" w:lineRule="auto"/>
      </w:pPr>
      <w:r>
        <w:rPr>
          <w:rFonts w:ascii="Calibri" w:eastAsia="微软雅黑" w:hAnsi="Calibri"/>
          <w:szCs w:val="22"/>
        </w:rPr>
        <w:t>呈现的数据：</w:t>
      </w:r>
    </w:p>
    <w:p w14:paraId="2C995BA0"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近</w:t>
      </w:r>
      <w:r>
        <w:rPr>
          <w:rFonts w:ascii="Calibri" w:eastAsia="微软雅黑" w:hAnsi="Calibri"/>
          <w:szCs w:val="22"/>
        </w:rPr>
        <w:t>1</w:t>
      </w:r>
      <w:r>
        <w:rPr>
          <w:rFonts w:ascii="Calibri" w:eastAsia="微软雅黑" w:hAnsi="Calibri"/>
          <w:szCs w:val="22"/>
        </w:rPr>
        <w:t>个月、</w:t>
      </w:r>
      <w:r>
        <w:rPr>
          <w:rFonts w:ascii="Calibri" w:eastAsia="微软雅黑" w:hAnsi="Calibri"/>
          <w:szCs w:val="22"/>
        </w:rPr>
        <w:t>3</w:t>
      </w:r>
      <w:r>
        <w:rPr>
          <w:rFonts w:ascii="Calibri" w:eastAsia="微软雅黑" w:hAnsi="Calibri"/>
          <w:szCs w:val="22"/>
        </w:rPr>
        <w:t>个月、</w:t>
      </w:r>
      <w:r>
        <w:rPr>
          <w:rFonts w:ascii="Calibri" w:eastAsia="微软雅黑" w:hAnsi="Calibri"/>
          <w:szCs w:val="22"/>
        </w:rPr>
        <w:t>6</w:t>
      </w:r>
      <w:r>
        <w:rPr>
          <w:rFonts w:ascii="Calibri" w:eastAsia="微软雅黑" w:hAnsi="Calibri"/>
          <w:szCs w:val="22"/>
        </w:rPr>
        <w:t>个月、年初至今和近</w:t>
      </w:r>
      <w:r>
        <w:rPr>
          <w:rFonts w:ascii="Calibri" w:eastAsia="微软雅黑" w:hAnsi="Calibri"/>
          <w:szCs w:val="22"/>
        </w:rPr>
        <w:t>1</w:t>
      </w:r>
      <w:r>
        <w:rPr>
          <w:rFonts w:ascii="Calibri" w:eastAsia="微软雅黑" w:hAnsi="Calibri"/>
          <w:szCs w:val="22"/>
        </w:rPr>
        <w:t>年表现。</w:t>
      </w:r>
    </w:p>
    <w:p w14:paraId="125CE40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当前估值、收益率、利差、股息率或价格分位等最具代表性的指标。</w:t>
      </w:r>
    </w:p>
    <w:p w14:paraId="10A42D98"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规模、流动性、跟踪误差、折溢价、费率等产品层信息。</w:t>
      </w:r>
    </w:p>
    <w:p w14:paraId="0575E648" w14:textId="77777777" w:rsidR="000E1477" w:rsidRDefault="000E1477"/>
    <w:p w14:paraId="17100544" w14:textId="214872CD" w:rsidR="000E1477" w:rsidRDefault="00000000">
      <w:pPr>
        <w:spacing w:after="60" w:line="360" w:lineRule="auto"/>
      </w:pPr>
      <w:r>
        <w:rPr>
          <w:rFonts w:ascii="Calibri" w:eastAsia="微软雅黑" w:hAnsi="Calibri"/>
          <w:szCs w:val="22"/>
        </w:rPr>
        <w:t>呈现方式：</w:t>
      </w:r>
    </w:p>
    <w:p w14:paraId="5CA6C284" w14:textId="77777777" w:rsidR="000E1477" w:rsidRDefault="00000000">
      <w:pPr>
        <w:spacing w:after="40"/>
        <w:ind w:left="420" w:hanging="210"/>
      </w:pPr>
      <w:r>
        <w:rPr>
          <w:rFonts w:ascii="Calibri" w:eastAsia="微软雅黑" w:hAnsi="Calibri"/>
          <w:szCs w:val="22"/>
        </w:rPr>
        <w:lastRenderedPageBreak/>
        <w:t xml:space="preserve">• </w:t>
      </w:r>
      <w:r>
        <w:rPr>
          <w:rFonts w:ascii="Calibri" w:eastAsia="微软雅黑" w:hAnsi="Calibri"/>
          <w:szCs w:val="22"/>
        </w:rPr>
        <w:t>用</w:t>
      </w:r>
      <w:r>
        <w:rPr>
          <w:rFonts w:ascii="Calibri" w:eastAsia="微软雅黑" w:hAnsi="Calibri"/>
          <w:szCs w:val="22"/>
        </w:rPr>
        <w:t>4</w:t>
      </w:r>
      <w:r>
        <w:rPr>
          <w:rFonts w:ascii="Calibri" w:eastAsia="微软雅黑" w:hAnsi="Calibri"/>
          <w:szCs w:val="22"/>
        </w:rPr>
        <w:t>至</w:t>
      </w:r>
      <w:r>
        <w:rPr>
          <w:rFonts w:ascii="Calibri" w:eastAsia="微软雅黑" w:hAnsi="Calibri"/>
          <w:szCs w:val="22"/>
        </w:rPr>
        <w:t>6</w:t>
      </w:r>
      <w:r>
        <w:rPr>
          <w:rFonts w:ascii="Calibri" w:eastAsia="微软雅黑" w:hAnsi="Calibri"/>
          <w:szCs w:val="22"/>
        </w:rPr>
        <w:t>个结论式要点概括全文。</w:t>
      </w:r>
    </w:p>
    <w:p w14:paraId="0481205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每个结论后尽量附</w:t>
      </w:r>
      <w:r>
        <w:rPr>
          <w:rFonts w:ascii="Calibri" w:eastAsia="微软雅黑" w:hAnsi="Calibri"/>
          <w:szCs w:val="22"/>
        </w:rPr>
        <w:t>1</w:t>
      </w:r>
      <w:r>
        <w:rPr>
          <w:rFonts w:ascii="Calibri" w:eastAsia="微软雅黑" w:hAnsi="Calibri"/>
          <w:szCs w:val="22"/>
        </w:rPr>
        <w:t>个最关键的数据支撑。</w:t>
      </w:r>
    </w:p>
    <w:p w14:paraId="68C36487"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若篇幅允许，可增加</w:t>
      </w:r>
      <w:r>
        <w:rPr>
          <w:rFonts w:ascii="Calibri" w:eastAsia="微软雅黑" w:hAnsi="Calibri"/>
          <w:szCs w:val="22"/>
        </w:rPr>
        <w:t>“</w:t>
      </w:r>
      <w:r>
        <w:rPr>
          <w:rFonts w:ascii="Calibri" w:eastAsia="微软雅黑" w:hAnsi="Calibri"/>
          <w:szCs w:val="22"/>
        </w:rPr>
        <w:t>关键信息速览表</w:t>
      </w:r>
      <w:r>
        <w:rPr>
          <w:rFonts w:ascii="Calibri" w:eastAsia="微软雅黑" w:hAnsi="Calibri"/>
          <w:szCs w:val="22"/>
        </w:rPr>
        <w:t>”</w:t>
      </w:r>
      <w:r>
        <w:rPr>
          <w:rFonts w:ascii="Calibri" w:eastAsia="微软雅黑" w:hAnsi="Calibri"/>
          <w:szCs w:val="22"/>
        </w:rPr>
        <w:t>，汇总驱动因素、结论、风险和使用情形。</w:t>
      </w:r>
    </w:p>
    <w:p w14:paraId="2AF47998" w14:textId="77777777" w:rsidR="000E1477" w:rsidRDefault="000E1477"/>
    <w:p w14:paraId="7FE97AEE" w14:textId="77777777" w:rsidR="000E1477" w:rsidRDefault="00000000">
      <w:pPr>
        <w:spacing w:before="100" w:after="100"/>
      </w:pPr>
      <w:r>
        <w:rPr>
          <w:rFonts w:ascii="Calibri" w:eastAsia="微软雅黑" w:hAnsi="Calibri"/>
          <w:b/>
          <w:sz w:val="24"/>
        </w:rPr>
        <w:t xml:space="preserve">2. </w:t>
      </w:r>
      <w:r>
        <w:rPr>
          <w:rFonts w:ascii="Calibri" w:eastAsia="微软雅黑" w:hAnsi="Calibri"/>
          <w:b/>
          <w:sz w:val="24"/>
        </w:rPr>
        <w:t>当前配置逻辑与市场背景</w:t>
      </w:r>
    </w:p>
    <w:p w14:paraId="3B1DFDF0" w14:textId="77777777" w:rsidR="000E1477" w:rsidRDefault="000E1477"/>
    <w:p w14:paraId="08A3B53C" w14:textId="77777777" w:rsidR="000E1477" w:rsidRDefault="00000000">
      <w:pPr>
        <w:spacing w:after="60" w:line="360" w:lineRule="auto"/>
      </w:pPr>
      <w:r>
        <w:rPr>
          <w:rFonts w:ascii="Calibri" w:eastAsia="微软雅黑" w:hAnsi="Calibri"/>
          <w:szCs w:val="22"/>
        </w:rPr>
        <w:t>这一部分用于解释</w:t>
      </w:r>
      <w:r>
        <w:rPr>
          <w:rFonts w:ascii="Calibri" w:eastAsia="微软雅黑" w:hAnsi="Calibri"/>
          <w:szCs w:val="22"/>
        </w:rPr>
        <w:t>“</w:t>
      </w:r>
      <w:r>
        <w:rPr>
          <w:rFonts w:ascii="Calibri" w:eastAsia="微软雅黑" w:hAnsi="Calibri"/>
          <w:szCs w:val="22"/>
        </w:rPr>
        <w:t>为什么是现在</w:t>
      </w:r>
      <w:r>
        <w:rPr>
          <w:rFonts w:ascii="Calibri" w:eastAsia="微软雅黑" w:hAnsi="Calibri"/>
          <w:szCs w:val="22"/>
        </w:rPr>
        <w:t>”</w:t>
      </w:r>
      <w:r>
        <w:rPr>
          <w:rFonts w:ascii="Calibri" w:eastAsia="微软雅黑" w:hAnsi="Calibri"/>
          <w:szCs w:val="22"/>
        </w:rPr>
        <w:t>，核心任务是把宏观环境、政策环境、产业趋势和市场风格联系起来，建立报告的时点合理性。</w:t>
      </w:r>
    </w:p>
    <w:p w14:paraId="0B6C787F" w14:textId="77777777" w:rsidR="000E1477" w:rsidRDefault="000E1477"/>
    <w:p w14:paraId="5B574E5E" w14:textId="77777777" w:rsidR="000E1477" w:rsidRDefault="00000000">
      <w:pPr>
        <w:spacing w:after="60" w:line="360" w:lineRule="auto"/>
      </w:pPr>
      <w:r>
        <w:rPr>
          <w:rFonts w:ascii="Calibri" w:eastAsia="微软雅黑" w:hAnsi="Calibri"/>
          <w:szCs w:val="22"/>
        </w:rPr>
        <w:t>建议覆盖的内容：</w:t>
      </w:r>
    </w:p>
    <w:p w14:paraId="3F6648C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宏观周期位置及其对相关资产的影响。</w:t>
      </w:r>
    </w:p>
    <w:p w14:paraId="520227C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政策方向、监管环境及其对行业或资产价格的影响。</w:t>
      </w:r>
    </w:p>
    <w:p w14:paraId="37BD977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市场风格切换、风险偏好变化和增量资金偏好。</w:t>
      </w:r>
    </w:p>
    <w:p w14:paraId="7F68D90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影响标的表现的关键变量处于何种阶段，是强化、拐点还是钝化。</w:t>
      </w:r>
    </w:p>
    <w:p w14:paraId="745B5DE6" w14:textId="77777777" w:rsidR="000E1477" w:rsidRDefault="000E1477"/>
    <w:p w14:paraId="702E37C3" w14:textId="77777777" w:rsidR="000E1477" w:rsidRDefault="00000000">
      <w:pPr>
        <w:spacing w:after="60" w:line="360" w:lineRule="auto"/>
      </w:pPr>
      <w:r>
        <w:rPr>
          <w:rFonts w:ascii="Calibri" w:eastAsia="微软雅黑" w:hAnsi="Calibri"/>
          <w:szCs w:val="22"/>
        </w:rPr>
        <w:t>建议呈现的数据：</w:t>
      </w:r>
    </w:p>
    <w:p w14:paraId="381E33B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利率、通胀、汇率、财政发力、信用扩张、库存周期等宏观变量。</w:t>
      </w:r>
    </w:p>
    <w:p w14:paraId="79B3DC4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行业景气、商品价格、供需缺口、海外映射、资金流向等中观变量。</w:t>
      </w:r>
    </w:p>
    <w:p w14:paraId="0415C0D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重要政策文件、产业催化事件、市场主题演绎节奏。</w:t>
      </w:r>
    </w:p>
    <w:p w14:paraId="5193010B" w14:textId="77777777" w:rsidR="000E1477" w:rsidRDefault="000E1477"/>
    <w:p w14:paraId="0F9BEB26" w14:textId="77777777" w:rsidR="000E1477" w:rsidRDefault="00000000">
      <w:pPr>
        <w:spacing w:after="60" w:line="360" w:lineRule="auto"/>
      </w:pPr>
      <w:r>
        <w:rPr>
          <w:rFonts w:ascii="Calibri" w:eastAsia="微软雅黑" w:hAnsi="Calibri"/>
          <w:szCs w:val="22"/>
        </w:rPr>
        <w:t>建议呈现方式：</w:t>
      </w:r>
    </w:p>
    <w:p w14:paraId="6B98D6B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用</w:t>
      </w:r>
      <w:r>
        <w:rPr>
          <w:rFonts w:ascii="Calibri" w:eastAsia="微软雅黑" w:hAnsi="Calibri"/>
          <w:szCs w:val="22"/>
        </w:rPr>
        <w:t>“</w:t>
      </w:r>
      <w:r>
        <w:rPr>
          <w:rFonts w:ascii="Calibri" w:eastAsia="微软雅黑" w:hAnsi="Calibri"/>
          <w:szCs w:val="22"/>
        </w:rPr>
        <w:t>背景判断</w:t>
      </w:r>
      <w:r>
        <w:rPr>
          <w:rFonts w:ascii="Calibri" w:eastAsia="微软雅黑" w:hAnsi="Calibri"/>
          <w:szCs w:val="22"/>
        </w:rPr>
        <w:t xml:space="preserve"> -&gt; </w:t>
      </w:r>
      <w:r>
        <w:rPr>
          <w:rFonts w:ascii="Calibri" w:eastAsia="微软雅黑" w:hAnsi="Calibri"/>
          <w:szCs w:val="22"/>
        </w:rPr>
        <w:t>驱动拆解</w:t>
      </w:r>
      <w:r>
        <w:rPr>
          <w:rFonts w:ascii="Calibri" w:eastAsia="微软雅黑" w:hAnsi="Calibri"/>
          <w:szCs w:val="22"/>
        </w:rPr>
        <w:t xml:space="preserve"> -&gt; </w:t>
      </w:r>
      <w:r>
        <w:rPr>
          <w:rFonts w:ascii="Calibri" w:eastAsia="微软雅黑" w:hAnsi="Calibri"/>
          <w:szCs w:val="22"/>
        </w:rPr>
        <w:t>当前阶段定位</w:t>
      </w:r>
      <w:r>
        <w:rPr>
          <w:rFonts w:ascii="Calibri" w:eastAsia="微软雅黑" w:hAnsi="Calibri"/>
          <w:szCs w:val="22"/>
        </w:rPr>
        <w:t>”</w:t>
      </w:r>
      <w:r>
        <w:rPr>
          <w:rFonts w:ascii="Calibri" w:eastAsia="微软雅黑" w:hAnsi="Calibri"/>
          <w:szCs w:val="22"/>
        </w:rPr>
        <w:t>的顺序展开。</w:t>
      </w:r>
    </w:p>
    <w:p w14:paraId="6171F00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对于存在明显事件驱动的产品，可单列</w:t>
      </w:r>
      <w:r>
        <w:rPr>
          <w:rFonts w:ascii="Calibri" w:eastAsia="微软雅黑" w:hAnsi="Calibri"/>
          <w:szCs w:val="22"/>
        </w:rPr>
        <w:t>“</w:t>
      </w:r>
      <w:r>
        <w:rPr>
          <w:rFonts w:ascii="Calibri" w:eastAsia="微软雅黑" w:hAnsi="Calibri"/>
          <w:szCs w:val="22"/>
        </w:rPr>
        <w:t>近期催化</w:t>
      </w:r>
      <w:r>
        <w:rPr>
          <w:rFonts w:ascii="Calibri" w:eastAsia="微软雅黑" w:hAnsi="Calibri"/>
          <w:szCs w:val="22"/>
        </w:rPr>
        <w:t>”</w:t>
      </w:r>
      <w:r>
        <w:rPr>
          <w:rFonts w:ascii="Calibri" w:eastAsia="微软雅黑" w:hAnsi="Calibri"/>
          <w:szCs w:val="22"/>
        </w:rPr>
        <w:t>小节。</w:t>
      </w:r>
    </w:p>
    <w:p w14:paraId="6B11928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对于偏中长期配置型产品，可强化</w:t>
      </w:r>
      <w:r>
        <w:rPr>
          <w:rFonts w:ascii="Calibri" w:eastAsia="微软雅黑" w:hAnsi="Calibri"/>
          <w:szCs w:val="22"/>
        </w:rPr>
        <w:t>“</w:t>
      </w:r>
      <w:r>
        <w:rPr>
          <w:rFonts w:ascii="Calibri" w:eastAsia="微软雅黑" w:hAnsi="Calibri"/>
          <w:szCs w:val="22"/>
        </w:rPr>
        <w:t>长期逻辑是否仍成立</w:t>
      </w:r>
      <w:r>
        <w:rPr>
          <w:rFonts w:ascii="Calibri" w:eastAsia="微软雅黑" w:hAnsi="Calibri"/>
          <w:szCs w:val="22"/>
        </w:rPr>
        <w:t>”</w:t>
      </w:r>
      <w:r>
        <w:rPr>
          <w:rFonts w:ascii="Calibri" w:eastAsia="微软雅黑" w:hAnsi="Calibri"/>
          <w:szCs w:val="22"/>
        </w:rPr>
        <w:t>的论证。</w:t>
      </w:r>
    </w:p>
    <w:p w14:paraId="1C2E62E4" w14:textId="77777777" w:rsidR="000E1477" w:rsidRDefault="000E1477"/>
    <w:p w14:paraId="3A947A67" w14:textId="77777777" w:rsidR="000E1477" w:rsidRDefault="00000000">
      <w:pPr>
        <w:spacing w:before="100" w:after="100"/>
      </w:pPr>
      <w:r>
        <w:rPr>
          <w:rFonts w:ascii="Calibri" w:eastAsia="微软雅黑" w:hAnsi="Calibri"/>
          <w:b/>
          <w:sz w:val="24"/>
        </w:rPr>
        <w:t xml:space="preserve">3. </w:t>
      </w:r>
      <w:r>
        <w:rPr>
          <w:rFonts w:ascii="Calibri" w:eastAsia="微软雅黑" w:hAnsi="Calibri"/>
          <w:b/>
          <w:sz w:val="24"/>
        </w:rPr>
        <w:t>跟踪指数投资价值分析</w:t>
      </w:r>
    </w:p>
    <w:p w14:paraId="6D289662" w14:textId="77777777" w:rsidR="000E1477" w:rsidRDefault="000E1477"/>
    <w:p w14:paraId="491E2D0E" w14:textId="77777777" w:rsidR="000E1477" w:rsidRDefault="00000000">
      <w:pPr>
        <w:spacing w:after="60" w:line="360" w:lineRule="auto"/>
      </w:pPr>
      <w:r>
        <w:rPr>
          <w:rFonts w:ascii="Calibri" w:eastAsia="微软雅黑" w:hAnsi="Calibri"/>
          <w:szCs w:val="22"/>
        </w:rPr>
        <w:lastRenderedPageBreak/>
        <w:t>ETF</w:t>
      </w:r>
      <w:r>
        <w:rPr>
          <w:rFonts w:ascii="Calibri" w:eastAsia="微软雅黑" w:hAnsi="Calibri"/>
          <w:szCs w:val="22"/>
        </w:rPr>
        <w:t>本质上是指数工具，报告的主体必须落在指数本身。该部分应从指数规则、结构特征、历史表现和定价位置四个层面展开，回答</w:t>
      </w:r>
      <w:r>
        <w:rPr>
          <w:rFonts w:ascii="Calibri" w:eastAsia="微软雅黑" w:hAnsi="Calibri"/>
          <w:szCs w:val="22"/>
        </w:rPr>
        <w:t>“</w:t>
      </w:r>
      <w:r>
        <w:rPr>
          <w:rFonts w:ascii="Calibri" w:eastAsia="微软雅黑" w:hAnsi="Calibri"/>
          <w:szCs w:val="22"/>
        </w:rPr>
        <w:t>该指数具有什么样的特征、边界和研究意义</w:t>
      </w:r>
      <w:r>
        <w:rPr>
          <w:rFonts w:ascii="Calibri" w:eastAsia="微软雅黑" w:hAnsi="Calibri"/>
          <w:szCs w:val="22"/>
        </w:rPr>
        <w:t>”</w:t>
      </w:r>
      <w:r>
        <w:rPr>
          <w:rFonts w:ascii="Calibri" w:eastAsia="微软雅黑" w:hAnsi="Calibri"/>
          <w:szCs w:val="22"/>
        </w:rPr>
        <w:t>。</w:t>
      </w:r>
    </w:p>
    <w:p w14:paraId="25B34AE1" w14:textId="77777777" w:rsidR="000E1477" w:rsidRDefault="000E1477"/>
    <w:p w14:paraId="6A4C5694" w14:textId="77777777" w:rsidR="000E1477" w:rsidRDefault="00000000">
      <w:pPr>
        <w:spacing w:after="60" w:line="360" w:lineRule="auto"/>
      </w:pPr>
      <w:r>
        <w:rPr>
          <w:rFonts w:ascii="Calibri" w:eastAsia="微软雅黑" w:hAnsi="Calibri"/>
          <w:szCs w:val="22"/>
        </w:rPr>
        <w:t>建议覆盖的内容：</w:t>
      </w:r>
    </w:p>
    <w:p w14:paraId="0DA2587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指数编制规则、选取范围、筛选条件、权重方案、调样频率。</w:t>
      </w:r>
    </w:p>
    <w:p w14:paraId="28297C6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指数成分结构，包括行业分布、市值分布、风格分布和前十大权重。</w:t>
      </w:r>
    </w:p>
    <w:p w14:paraId="5A95DF0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指数历史收益风险特征，包括收益波动特征、下行表现和不同市场阶段表现。</w:t>
      </w:r>
    </w:p>
    <w:p w14:paraId="4299A2B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当前估值、收益率、股息率、久期或其他核心定价指标所处位置。</w:t>
      </w:r>
    </w:p>
    <w:p w14:paraId="1B04803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与可比指数相比，该指数的暴露差异和定位差异。</w:t>
      </w:r>
    </w:p>
    <w:p w14:paraId="16B815ED" w14:textId="77777777" w:rsidR="000E1477" w:rsidRDefault="000E1477"/>
    <w:p w14:paraId="2F2DEB4F" w14:textId="77777777" w:rsidR="000E1477" w:rsidRDefault="00000000">
      <w:pPr>
        <w:spacing w:after="60" w:line="360" w:lineRule="auto"/>
      </w:pPr>
      <w:r>
        <w:rPr>
          <w:rFonts w:ascii="Calibri" w:eastAsia="微软雅黑" w:hAnsi="Calibri"/>
          <w:szCs w:val="22"/>
        </w:rPr>
        <w:t>建议呈现的数据：</w:t>
      </w:r>
    </w:p>
    <w:p w14:paraId="0FA8F0BF"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成分数量、权重上限、行业集中度、市值集中度、前十大权重占比。</w:t>
      </w:r>
    </w:p>
    <w:p w14:paraId="5F2887F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近</w:t>
      </w:r>
      <w:r>
        <w:rPr>
          <w:rFonts w:ascii="Calibri" w:eastAsia="微软雅黑" w:hAnsi="Calibri"/>
          <w:szCs w:val="22"/>
        </w:rPr>
        <w:t>1</w:t>
      </w:r>
      <w:r>
        <w:rPr>
          <w:rFonts w:ascii="Calibri" w:eastAsia="微软雅黑" w:hAnsi="Calibri"/>
          <w:szCs w:val="22"/>
        </w:rPr>
        <w:t>年、</w:t>
      </w:r>
      <w:r>
        <w:rPr>
          <w:rFonts w:ascii="Calibri" w:eastAsia="微软雅黑" w:hAnsi="Calibri"/>
          <w:szCs w:val="22"/>
        </w:rPr>
        <w:t>3</w:t>
      </w:r>
      <w:r>
        <w:rPr>
          <w:rFonts w:ascii="Calibri" w:eastAsia="微软雅黑" w:hAnsi="Calibri"/>
          <w:szCs w:val="22"/>
        </w:rPr>
        <w:t>年、</w:t>
      </w:r>
      <w:r>
        <w:rPr>
          <w:rFonts w:ascii="Calibri" w:eastAsia="微软雅黑" w:hAnsi="Calibri"/>
          <w:szCs w:val="22"/>
        </w:rPr>
        <w:t>5</w:t>
      </w:r>
      <w:r>
        <w:rPr>
          <w:rFonts w:ascii="Calibri" w:eastAsia="微软雅黑" w:hAnsi="Calibri"/>
          <w:szCs w:val="22"/>
        </w:rPr>
        <w:t>年收益，年化波动率，最大回撤，夏普比率，信息比率。</w:t>
      </w:r>
    </w:p>
    <w:p w14:paraId="30F4A12A" w14:textId="77777777" w:rsidR="000E1477" w:rsidRDefault="00000000">
      <w:pPr>
        <w:spacing w:after="40"/>
        <w:ind w:left="420" w:hanging="210"/>
      </w:pPr>
      <w:r>
        <w:rPr>
          <w:rFonts w:ascii="Calibri" w:eastAsia="微软雅黑" w:hAnsi="Calibri"/>
          <w:szCs w:val="22"/>
        </w:rPr>
        <w:t>• PE</w:t>
      </w:r>
      <w:r>
        <w:rPr>
          <w:rFonts w:ascii="Calibri" w:eastAsia="微软雅黑" w:hAnsi="Calibri"/>
          <w:szCs w:val="22"/>
        </w:rPr>
        <w:t>、</w:t>
      </w:r>
      <w:r>
        <w:rPr>
          <w:rFonts w:ascii="Calibri" w:eastAsia="微软雅黑" w:hAnsi="Calibri"/>
          <w:szCs w:val="22"/>
        </w:rPr>
        <w:t>PB</w:t>
      </w:r>
      <w:r>
        <w:rPr>
          <w:rFonts w:ascii="Calibri" w:eastAsia="微软雅黑" w:hAnsi="Calibri"/>
          <w:szCs w:val="22"/>
        </w:rPr>
        <w:t>、</w:t>
      </w:r>
      <w:r>
        <w:rPr>
          <w:rFonts w:ascii="Calibri" w:eastAsia="微软雅黑" w:hAnsi="Calibri"/>
          <w:szCs w:val="22"/>
        </w:rPr>
        <w:t>ROE</w:t>
      </w:r>
      <w:r>
        <w:rPr>
          <w:rFonts w:ascii="Calibri" w:eastAsia="微软雅黑" w:hAnsi="Calibri"/>
          <w:szCs w:val="22"/>
        </w:rPr>
        <w:t>、股息率、自由现金流率、到期收益率、修正久期等。</w:t>
      </w:r>
    </w:p>
    <w:p w14:paraId="33D795F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与主流基准及同类指数的横向对比数据。</w:t>
      </w:r>
    </w:p>
    <w:p w14:paraId="70A0BFB4" w14:textId="77777777" w:rsidR="000E1477" w:rsidRDefault="000E1477"/>
    <w:p w14:paraId="61E74537" w14:textId="77777777" w:rsidR="000E1477" w:rsidRDefault="00000000">
      <w:pPr>
        <w:spacing w:after="60" w:line="360" w:lineRule="auto"/>
      </w:pPr>
      <w:r>
        <w:rPr>
          <w:rFonts w:ascii="Calibri" w:eastAsia="微软雅黑" w:hAnsi="Calibri"/>
          <w:szCs w:val="22"/>
        </w:rPr>
        <w:t>建议图表：</w:t>
      </w:r>
    </w:p>
    <w:p w14:paraId="00572D5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指数编制规则摘要表。</w:t>
      </w:r>
    </w:p>
    <w:p w14:paraId="2B724A3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行业和市值分布图。</w:t>
      </w:r>
    </w:p>
    <w:p w14:paraId="5A95753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历史净值曲线及回撤曲线。</w:t>
      </w:r>
    </w:p>
    <w:p w14:paraId="32BDF24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估值分位图或关键定价指标分位图。</w:t>
      </w:r>
    </w:p>
    <w:p w14:paraId="3C038174" w14:textId="77777777" w:rsidR="000E1477" w:rsidRDefault="000E1477"/>
    <w:p w14:paraId="6D8A10CF" w14:textId="77777777" w:rsidR="000E1477" w:rsidRDefault="00000000">
      <w:pPr>
        <w:spacing w:before="100" w:after="100"/>
      </w:pPr>
      <w:r>
        <w:rPr>
          <w:rFonts w:ascii="Calibri" w:eastAsia="微软雅黑" w:hAnsi="Calibri"/>
          <w:b/>
          <w:sz w:val="24"/>
        </w:rPr>
        <w:t>4. ETF</w:t>
      </w:r>
      <w:r>
        <w:rPr>
          <w:rFonts w:ascii="Calibri" w:eastAsia="微软雅黑" w:hAnsi="Calibri"/>
          <w:b/>
          <w:sz w:val="24"/>
        </w:rPr>
        <w:t>产品分析</w:t>
      </w:r>
    </w:p>
    <w:p w14:paraId="64B3D4F3" w14:textId="77777777" w:rsidR="000E1477" w:rsidRDefault="000E1477"/>
    <w:p w14:paraId="61FD62F0" w14:textId="77777777" w:rsidR="000E1477" w:rsidRDefault="00000000">
      <w:pPr>
        <w:spacing w:after="60" w:line="360" w:lineRule="auto"/>
      </w:pPr>
      <w:r>
        <w:rPr>
          <w:rFonts w:ascii="Calibri" w:eastAsia="微软雅黑" w:hAnsi="Calibri"/>
          <w:szCs w:val="22"/>
        </w:rPr>
        <w:t>在指数特征明确之后，需要进一步回答</w:t>
      </w:r>
      <w:r>
        <w:rPr>
          <w:rFonts w:ascii="Calibri" w:eastAsia="微软雅黑" w:hAnsi="Calibri"/>
          <w:szCs w:val="22"/>
        </w:rPr>
        <w:t>“</w:t>
      </w:r>
      <w:r>
        <w:rPr>
          <w:rFonts w:ascii="Calibri" w:eastAsia="微软雅黑" w:hAnsi="Calibri"/>
          <w:szCs w:val="22"/>
        </w:rPr>
        <w:t>通过该</w:t>
      </w:r>
      <w:r>
        <w:rPr>
          <w:rFonts w:ascii="Calibri" w:eastAsia="微软雅黑" w:hAnsi="Calibri"/>
          <w:szCs w:val="22"/>
        </w:rPr>
        <w:t>ETF</w:t>
      </w:r>
      <w:r>
        <w:rPr>
          <w:rFonts w:ascii="Calibri" w:eastAsia="微软雅黑" w:hAnsi="Calibri"/>
          <w:szCs w:val="22"/>
        </w:rPr>
        <w:t>实现相关暴露是否合适，以及其工具属性如何</w:t>
      </w:r>
      <w:r>
        <w:rPr>
          <w:rFonts w:ascii="Calibri" w:eastAsia="微软雅黑" w:hAnsi="Calibri"/>
          <w:szCs w:val="22"/>
        </w:rPr>
        <w:t>”</w:t>
      </w:r>
      <w:r>
        <w:rPr>
          <w:rFonts w:ascii="Calibri" w:eastAsia="微软雅黑" w:hAnsi="Calibri"/>
          <w:szCs w:val="22"/>
        </w:rPr>
        <w:t>。这一部分既要覆盖产品静态信息，也要覆盖实际可投资性。</w:t>
      </w:r>
    </w:p>
    <w:p w14:paraId="50C98A45" w14:textId="77777777" w:rsidR="000E1477" w:rsidRDefault="000E1477"/>
    <w:p w14:paraId="5ECA6749" w14:textId="77777777" w:rsidR="000E1477" w:rsidRDefault="00000000">
      <w:pPr>
        <w:spacing w:after="60" w:line="360" w:lineRule="auto"/>
      </w:pPr>
      <w:r>
        <w:rPr>
          <w:rFonts w:ascii="Calibri" w:eastAsia="微软雅黑" w:hAnsi="Calibri"/>
          <w:szCs w:val="22"/>
        </w:rPr>
        <w:lastRenderedPageBreak/>
        <w:t>建议覆盖的内容：</w:t>
      </w:r>
    </w:p>
    <w:p w14:paraId="15E93CC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产品基本信息，包括代码、成立时间、管理人、基金经理、费率和跟踪标的。</w:t>
      </w:r>
    </w:p>
    <w:p w14:paraId="2FCD6F4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产品规模、份额、成交额、换手率、做市情况和申赎便利性。</w:t>
      </w:r>
    </w:p>
    <w:p w14:paraId="7733514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跟踪效果，包括跟踪误差、跟踪偏离、折溢价波动、持仓复制方式。</w:t>
      </w:r>
    </w:p>
    <w:p w14:paraId="06C22A7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场内交易属性和场外联接属性，适用不同资金类型的便利性。</w:t>
      </w:r>
    </w:p>
    <w:p w14:paraId="61E42C6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产品相较同类</w:t>
      </w:r>
      <w:r>
        <w:rPr>
          <w:rFonts w:ascii="Calibri" w:eastAsia="微软雅黑" w:hAnsi="Calibri"/>
          <w:szCs w:val="22"/>
        </w:rPr>
        <w:t>ETF</w:t>
      </w:r>
      <w:r>
        <w:rPr>
          <w:rFonts w:ascii="Calibri" w:eastAsia="微软雅黑" w:hAnsi="Calibri"/>
          <w:szCs w:val="22"/>
        </w:rPr>
        <w:t>的差异、局限与可比性。</w:t>
      </w:r>
    </w:p>
    <w:p w14:paraId="0988AACA" w14:textId="77777777" w:rsidR="000E1477" w:rsidRDefault="000E1477"/>
    <w:p w14:paraId="5B0CB769" w14:textId="77777777" w:rsidR="000E1477" w:rsidRDefault="00000000">
      <w:pPr>
        <w:spacing w:after="60" w:line="360" w:lineRule="auto"/>
      </w:pPr>
      <w:r>
        <w:rPr>
          <w:rFonts w:ascii="Calibri" w:eastAsia="微软雅黑" w:hAnsi="Calibri"/>
          <w:szCs w:val="22"/>
        </w:rPr>
        <w:t>建议呈现的数据：</w:t>
      </w:r>
    </w:p>
    <w:p w14:paraId="11E5218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最新规模、份额、近</w:t>
      </w:r>
      <w:r>
        <w:rPr>
          <w:rFonts w:ascii="Calibri" w:eastAsia="微软雅黑" w:hAnsi="Calibri"/>
          <w:szCs w:val="22"/>
        </w:rPr>
        <w:t>20</w:t>
      </w:r>
      <w:r>
        <w:rPr>
          <w:rFonts w:ascii="Calibri" w:eastAsia="微软雅黑" w:hAnsi="Calibri"/>
          <w:szCs w:val="22"/>
        </w:rPr>
        <w:t>日和近</w:t>
      </w:r>
      <w:r>
        <w:rPr>
          <w:rFonts w:ascii="Calibri" w:eastAsia="微软雅黑" w:hAnsi="Calibri"/>
          <w:szCs w:val="22"/>
        </w:rPr>
        <w:t>60</w:t>
      </w:r>
      <w:r>
        <w:rPr>
          <w:rFonts w:ascii="Calibri" w:eastAsia="微软雅黑" w:hAnsi="Calibri"/>
          <w:szCs w:val="22"/>
        </w:rPr>
        <w:t>日日均成交额。</w:t>
      </w:r>
    </w:p>
    <w:p w14:paraId="1E44A8A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管理费、托管费、申购赎回成本、最小交易单位。</w:t>
      </w:r>
    </w:p>
    <w:p w14:paraId="4B06589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年化跟踪误差、滚动</w:t>
      </w:r>
      <w:r>
        <w:rPr>
          <w:rFonts w:ascii="Calibri" w:eastAsia="微软雅黑" w:hAnsi="Calibri"/>
          <w:szCs w:val="22"/>
        </w:rPr>
        <w:t>20</w:t>
      </w:r>
      <w:r>
        <w:rPr>
          <w:rFonts w:ascii="Calibri" w:eastAsia="微软雅黑" w:hAnsi="Calibri"/>
          <w:szCs w:val="22"/>
        </w:rPr>
        <w:t>日偏离度、历史折溢价区间。</w:t>
      </w:r>
    </w:p>
    <w:p w14:paraId="4D80AD5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基金经理在管经验、指数产品管理经验和同类产品数量。</w:t>
      </w:r>
    </w:p>
    <w:p w14:paraId="5C867CFB" w14:textId="77777777" w:rsidR="000E1477" w:rsidRDefault="000E1477"/>
    <w:p w14:paraId="2E7580A0" w14:textId="77777777" w:rsidR="000E1477" w:rsidRDefault="00000000">
      <w:pPr>
        <w:spacing w:after="60" w:line="360" w:lineRule="auto"/>
      </w:pPr>
      <w:r>
        <w:rPr>
          <w:rFonts w:ascii="Calibri" w:eastAsia="微软雅黑" w:hAnsi="Calibri"/>
          <w:szCs w:val="22"/>
        </w:rPr>
        <w:t>建议图表：</w:t>
      </w:r>
    </w:p>
    <w:p w14:paraId="6CD452F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产品核心信息表。</w:t>
      </w:r>
    </w:p>
    <w:p w14:paraId="28809E1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同类</w:t>
      </w:r>
      <w:r>
        <w:rPr>
          <w:rFonts w:ascii="Calibri" w:eastAsia="微软雅黑" w:hAnsi="Calibri"/>
          <w:szCs w:val="22"/>
        </w:rPr>
        <w:t>ETF</w:t>
      </w:r>
      <w:r>
        <w:rPr>
          <w:rFonts w:ascii="Calibri" w:eastAsia="微软雅黑" w:hAnsi="Calibri"/>
          <w:szCs w:val="22"/>
        </w:rPr>
        <w:t>规模与流动性对比表。</w:t>
      </w:r>
    </w:p>
    <w:p w14:paraId="693D744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跟踪误差和折溢价走势小图。</w:t>
      </w:r>
    </w:p>
    <w:p w14:paraId="75A3A4A8" w14:textId="77777777" w:rsidR="000E1477" w:rsidRDefault="000E1477"/>
    <w:p w14:paraId="21F0B672" w14:textId="77777777" w:rsidR="000E1477" w:rsidRDefault="00000000">
      <w:pPr>
        <w:spacing w:before="100" w:after="100"/>
      </w:pPr>
      <w:r>
        <w:rPr>
          <w:rFonts w:ascii="Calibri" w:eastAsia="微软雅黑" w:hAnsi="Calibri"/>
          <w:b/>
          <w:sz w:val="24"/>
        </w:rPr>
        <w:t xml:space="preserve">5. </w:t>
      </w:r>
      <w:r>
        <w:rPr>
          <w:rFonts w:ascii="Calibri" w:eastAsia="微软雅黑" w:hAnsi="Calibri"/>
          <w:b/>
          <w:sz w:val="24"/>
        </w:rPr>
        <w:t>同类产品与可比工具比较</w:t>
      </w:r>
    </w:p>
    <w:p w14:paraId="2A93FF2B" w14:textId="77777777" w:rsidR="000E1477" w:rsidRDefault="000E1477"/>
    <w:p w14:paraId="0AB0E09A" w14:textId="77777777" w:rsidR="000E1477" w:rsidRDefault="00000000">
      <w:pPr>
        <w:spacing w:after="60" w:line="360" w:lineRule="auto"/>
      </w:pPr>
      <w:r>
        <w:rPr>
          <w:rFonts w:ascii="Calibri" w:eastAsia="微软雅黑" w:hAnsi="Calibri"/>
          <w:szCs w:val="22"/>
        </w:rPr>
        <w:t>该部分的核心是帮助读者识别</w:t>
      </w:r>
      <w:r>
        <w:rPr>
          <w:rFonts w:ascii="Calibri" w:eastAsia="微软雅黑" w:hAnsi="Calibri"/>
          <w:szCs w:val="22"/>
        </w:rPr>
        <w:t>“</w:t>
      </w:r>
      <w:r>
        <w:rPr>
          <w:rFonts w:ascii="Calibri" w:eastAsia="微软雅黑" w:hAnsi="Calibri"/>
          <w:szCs w:val="22"/>
        </w:rPr>
        <w:t>该产品与其他工具相比有哪些差异、边界和可替代关系</w:t>
      </w:r>
      <w:r>
        <w:rPr>
          <w:rFonts w:ascii="Calibri" w:eastAsia="微软雅黑" w:hAnsi="Calibri"/>
          <w:szCs w:val="22"/>
        </w:rPr>
        <w:t>”</w:t>
      </w:r>
      <w:r>
        <w:rPr>
          <w:rFonts w:ascii="Calibri" w:eastAsia="微软雅黑" w:hAnsi="Calibri"/>
          <w:szCs w:val="22"/>
        </w:rPr>
        <w:t>。在对外表达上，应保持客观比较，避免结论先行。</w:t>
      </w:r>
    </w:p>
    <w:p w14:paraId="3EA52E77" w14:textId="77777777" w:rsidR="000E1477" w:rsidRDefault="000E1477"/>
    <w:p w14:paraId="61F45FBF" w14:textId="77777777" w:rsidR="000E1477" w:rsidRDefault="00000000">
      <w:pPr>
        <w:spacing w:after="60" w:line="360" w:lineRule="auto"/>
      </w:pPr>
      <w:r>
        <w:rPr>
          <w:rFonts w:ascii="Calibri" w:eastAsia="微软雅黑" w:hAnsi="Calibri"/>
          <w:szCs w:val="22"/>
        </w:rPr>
        <w:t>建议覆盖的内容：</w:t>
      </w:r>
    </w:p>
    <w:p w14:paraId="770A1E6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同类</w:t>
      </w:r>
      <w:r>
        <w:rPr>
          <w:rFonts w:ascii="Calibri" w:eastAsia="微软雅黑" w:hAnsi="Calibri"/>
          <w:szCs w:val="22"/>
        </w:rPr>
        <w:t>ETF</w:t>
      </w:r>
      <w:r>
        <w:rPr>
          <w:rFonts w:ascii="Calibri" w:eastAsia="微软雅黑" w:hAnsi="Calibri"/>
          <w:szCs w:val="22"/>
        </w:rPr>
        <w:t>之间在跟踪指数、费率、规模、流动性、跟踪效果上的差别。</w:t>
      </w:r>
    </w:p>
    <w:p w14:paraId="5A3CD3C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相近投资工具之间的替代关系与互补关系，例如</w:t>
      </w:r>
      <w:r>
        <w:rPr>
          <w:rFonts w:ascii="Calibri" w:eastAsia="微软雅黑" w:hAnsi="Calibri"/>
          <w:szCs w:val="22"/>
        </w:rPr>
        <w:t>ETF</w:t>
      </w:r>
      <w:r>
        <w:rPr>
          <w:rFonts w:ascii="Calibri" w:eastAsia="微软雅黑" w:hAnsi="Calibri"/>
          <w:szCs w:val="22"/>
        </w:rPr>
        <w:t>与场外指数基金、主动基金、期货工具之间的差别。</w:t>
      </w:r>
    </w:p>
    <w:p w14:paraId="6A9506B4" w14:textId="77777777" w:rsidR="000E1477" w:rsidRDefault="00000000">
      <w:pPr>
        <w:spacing w:after="40"/>
        <w:ind w:left="420" w:hanging="210"/>
      </w:pPr>
      <w:r>
        <w:rPr>
          <w:rFonts w:ascii="Calibri" w:eastAsia="微软雅黑" w:hAnsi="Calibri"/>
          <w:szCs w:val="22"/>
        </w:rPr>
        <w:lastRenderedPageBreak/>
        <w:t xml:space="preserve">• </w:t>
      </w:r>
      <w:r>
        <w:rPr>
          <w:rFonts w:ascii="Calibri" w:eastAsia="微软雅黑" w:hAnsi="Calibri"/>
          <w:szCs w:val="22"/>
        </w:rPr>
        <w:t>指数层比较和产品层比较应分别展开，避免把指数优劣与产品优劣混为一谈。</w:t>
      </w:r>
    </w:p>
    <w:p w14:paraId="722F14EF" w14:textId="77777777" w:rsidR="000E1477" w:rsidRDefault="000E1477"/>
    <w:p w14:paraId="13430419" w14:textId="77777777" w:rsidR="000E1477" w:rsidRDefault="00000000">
      <w:pPr>
        <w:spacing w:after="60" w:line="360" w:lineRule="auto"/>
      </w:pPr>
      <w:r>
        <w:rPr>
          <w:rFonts w:ascii="Calibri" w:eastAsia="微软雅黑" w:hAnsi="Calibri"/>
          <w:szCs w:val="22"/>
        </w:rPr>
        <w:t>建议呈现的数据：</w:t>
      </w:r>
    </w:p>
    <w:p w14:paraId="0D00DC8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同类</w:t>
      </w:r>
      <w:r>
        <w:rPr>
          <w:rFonts w:ascii="Calibri" w:eastAsia="微软雅黑" w:hAnsi="Calibri"/>
          <w:szCs w:val="22"/>
        </w:rPr>
        <w:t>ETF</w:t>
      </w:r>
      <w:r>
        <w:rPr>
          <w:rFonts w:ascii="Calibri" w:eastAsia="微软雅黑" w:hAnsi="Calibri"/>
          <w:szCs w:val="22"/>
        </w:rPr>
        <w:t>费率、成交、规模、跟踪误差横向表。</w:t>
      </w:r>
    </w:p>
    <w:p w14:paraId="75189EF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同类指数在行业权重、风格因子、估值水平、收益波动特征上的对比。</w:t>
      </w:r>
    </w:p>
    <w:p w14:paraId="4C96B8C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若为债券或商品类</w:t>
      </w:r>
      <w:r>
        <w:rPr>
          <w:rFonts w:ascii="Calibri" w:eastAsia="微软雅黑" w:hAnsi="Calibri"/>
          <w:szCs w:val="22"/>
        </w:rPr>
        <w:t>ETF</w:t>
      </w:r>
      <w:r>
        <w:rPr>
          <w:rFonts w:ascii="Calibri" w:eastAsia="微软雅黑" w:hAnsi="Calibri"/>
          <w:szCs w:val="22"/>
        </w:rPr>
        <w:t>，可增加与场外基金、现货或衍生品工具的比较。</w:t>
      </w:r>
    </w:p>
    <w:p w14:paraId="4D3C794C" w14:textId="77777777" w:rsidR="000E1477" w:rsidRDefault="000E1477"/>
    <w:p w14:paraId="240636DF" w14:textId="77777777" w:rsidR="000E1477" w:rsidRDefault="00000000">
      <w:pPr>
        <w:spacing w:before="100" w:after="100"/>
      </w:pPr>
      <w:r>
        <w:rPr>
          <w:rFonts w:ascii="Calibri" w:eastAsia="微软雅黑" w:hAnsi="Calibri"/>
          <w:b/>
          <w:sz w:val="24"/>
        </w:rPr>
        <w:t xml:space="preserve">6. </w:t>
      </w:r>
      <w:r>
        <w:rPr>
          <w:rFonts w:ascii="Calibri" w:eastAsia="微软雅黑" w:hAnsi="Calibri"/>
          <w:b/>
          <w:sz w:val="24"/>
        </w:rPr>
        <w:t>适用对象与使用情形</w:t>
      </w:r>
    </w:p>
    <w:p w14:paraId="1D73CFD2" w14:textId="77777777" w:rsidR="000E1477" w:rsidRDefault="000E1477"/>
    <w:p w14:paraId="7EF877B6" w14:textId="77777777" w:rsidR="000E1477" w:rsidRDefault="00000000">
      <w:pPr>
        <w:spacing w:after="60" w:line="360" w:lineRule="auto"/>
      </w:pPr>
      <w:r>
        <w:rPr>
          <w:rFonts w:ascii="Calibri" w:eastAsia="微软雅黑" w:hAnsi="Calibri"/>
          <w:szCs w:val="22"/>
        </w:rPr>
        <w:t>这部分用于把研究结论转化为更明确的使用语言，帮助不同类型的读者快速判断该类工具适用于哪些研究目的和使用情形。</w:t>
      </w:r>
    </w:p>
    <w:p w14:paraId="1D158BD0" w14:textId="77777777" w:rsidR="000E1477" w:rsidRDefault="000E1477"/>
    <w:p w14:paraId="5EA1666E" w14:textId="77777777" w:rsidR="000E1477" w:rsidRDefault="00000000">
      <w:pPr>
        <w:spacing w:after="60" w:line="360" w:lineRule="auto"/>
      </w:pPr>
      <w:r>
        <w:rPr>
          <w:rFonts w:ascii="Calibri" w:eastAsia="微软雅黑" w:hAnsi="Calibri"/>
          <w:szCs w:val="22"/>
        </w:rPr>
        <w:t>建议覆盖的内容：</w:t>
      </w:r>
    </w:p>
    <w:p w14:paraId="70E368D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主要对应配置型、交易型、轮动型还是定投型资金。</w:t>
      </w:r>
    </w:p>
    <w:p w14:paraId="5F39187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主要用于核心底仓、卫星仓位、主题增强还是防御对冲。</w:t>
      </w:r>
    </w:p>
    <w:p w14:paraId="2C6CF89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适用于什么市场假设，例如利率下行、成长修复、风险偏好回升、通胀交易等。</w:t>
      </w:r>
    </w:p>
    <w:p w14:paraId="6B89340F"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对于交易属性强的产品，应说明更偏向左侧观察、右侧跟随还是区间波段。</w:t>
      </w:r>
    </w:p>
    <w:p w14:paraId="099F0BAE" w14:textId="77777777" w:rsidR="000E1477" w:rsidRDefault="000E1477"/>
    <w:p w14:paraId="358FB8CD" w14:textId="77777777" w:rsidR="000E1477" w:rsidRDefault="00000000">
      <w:pPr>
        <w:spacing w:after="60" w:line="360" w:lineRule="auto"/>
      </w:pPr>
      <w:r>
        <w:rPr>
          <w:rFonts w:ascii="Calibri" w:eastAsia="微软雅黑" w:hAnsi="Calibri"/>
          <w:szCs w:val="22"/>
        </w:rPr>
        <w:t>建议呈现方式：</w:t>
      </w:r>
    </w:p>
    <w:p w14:paraId="65B158D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单列</w:t>
      </w:r>
      <w:r>
        <w:rPr>
          <w:rFonts w:ascii="Calibri" w:eastAsia="微软雅黑" w:hAnsi="Calibri"/>
          <w:szCs w:val="22"/>
        </w:rPr>
        <w:t>“</w:t>
      </w:r>
      <w:r>
        <w:rPr>
          <w:rFonts w:ascii="Calibri" w:eastAsia="微软雅黑" w:hAnsi="Calibri"/>
          <w:szCs w:val="22"/>
        </w:rPr>
        <w:t>使用情形</w:t>
      </w:r>
      <w:r>
        <w:rPr>
          <w:rFonts w:ascii="Calibri" w:eastAsia="微软雅黑" w:hAnsi="Calibri"/>
          <w:szCs w:val="22"/>
        </w:rPr>
        <w:t>”</w:t>
      </w:r>
      <w:r>
        <w:rPr>
          <w:rFonts w:ascii="Calibri" w:eastAsia="微软雅黑" w:hAnsi="Calibri"/>
          <w:szCs w:val="22"/>
        </w:rPr>
        <w:t>或</w:t>
      </w:r>
      <w:r>
        <w:rPr>
          <w:rFonts w:ascii="Calibri" w:eastAsia="微软雅黑" w:hAnsi="Calibri"/>
          <w:szCs w:val="22"/>
        </w:rPr>
        <w:t>“</w:t>
      </w:r>
      <w:r>
        <w:rPr>
          <w:rFonts w:ascii="Calibri" w:eastAsia="微软雅黑" w:hAnsi="Calibri"/>
          <w:szCs w:val="22"/>
        </w:rPr>
        <w:t>适用对象</w:t>
      </w:r>
      <w:r>
        <w:rPr>
          <w:rFonts w:ascii="Calibri" w:eastAsia="微软雅黑" w:hAnsi="Calibri"/>
          <w:szCs w:val="22"/>
        </w:rPr>
        <w:t>”</w:t>
      </w:r>
      <w:r>
        <w:rPr>
          <w:rFonts w:ascii="Calibri" w:eastAsia="微软雅黑" w:hAnsi="Calibri"/>
          <w:szCs w:val="22"/>
        </w:rPr>
        <w:t>模块。</w:t>
      </w:r>
    </w:p>
    <w:p w14:paraId="5FAA8ED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直接给出</w:t>
      </w:r>
      <w:r>
        <w:rPr>
          <w:rFonts w:ascii="Calibri" w:eastAsia="微软雅黑" w:hAnsi="Calibri"/>
          <w:szCs w:val="22"/>
        </w:rPr>
        <w:t>“</w:t>
      </w:r>
      <w:r>
        <w:rPr>
          <w:rFonts w:ascii="Calibri" w:eastAsia="微软雅黑" w:hAnsi="Calibri"/>
          <w:szCs w:val="22"/>
        </w:rPr>
        <w:t>适用于什么目的、在什么情况下用、可与什么工具对照</w:t>
      </w:r>
      <w:r>
        <w:rPr>
          <w:rFonts w:ascii="Calibri" w:eastAsia="微软雅黑" w:hAnsi="Calibri"/>
          <w:szCs w:val="22"/>
        </w:rPr>
        <w:t>”</w:t>
      </w:r>
      <w:r>
        <w:rPr>
          <w:rFonts w:ascii="Calibri" w:eastAsia="微软雅黑" w:hAnsi="Calibri"/>
          <w:szCs w:val="22"/>
        </w:rPr>
        <w:t>的清晰表述。</w:t>
      </w:r>
    </w:p>
    <w:p w14:paraId="2D37B52A" w14:textId="77777777" w:rsidR="000E1477" w:rsidRDefault="000E1477"/>
    <w:p w14:paraId="4D2DCFEB" w14:textId="77777777" w:rsidR="000E1477" w:rsidRDefault="00000000">
      <w:pPr>
        <w:spacing w:before="100" w:after="100"/>
      </w:pPr>
      <w:r>
        <w:rPr>
          <w:rFonts w:ascii="Calibri" w:eastAsia="微软雅黑" w:hAnsi="Calibri"/>
          <w:b/>
          <w:sz w:val="24"/>
        </w:rPr>
        <w:t xml:space="preserve">7. </w:t>
      </w:r>
      <w:r>
        <w:rPr>
          <w:rFonts w:ascii="Calibri" w:eastAsia="微软雅黑" w:hAnsi="Calibri"/>
          <w:b/>
          <w:sz w:val="24"/>
        </w:rPr>
        <w:t>风险提示与反向验证</w:t>
      </w:r>
    </w:p>
    <w:p w14:paraId="718E4508" w14:textId="77777777" w:rsidR="000E1477" w:rsidRDefault="000E1477"/>
    <w:p w14:paraId="79FB3BDD" w14:textId="77777777" w:rsidR="000E1477" w:rsidRDefault="00000000">
      <w:pPr>
        <w:spacing w:after="60" w:line="360" w:lineRule="auto"/>
      </w:pPr>
      <w:r>
        <w:rPr>
          <w:rFonts w:ascii="Calibri" w:eastAsia="微软雅黑" w:hAnsi="Calibri"/>
          <w:szCs w:val="22"/>
        </w:rPr>
        <w:t>风险提示不应仅停留在形式层面，而应与前文逻辑一一对应。建议所有报告固定包含</w:t>
      </w:r>
      <w:r>
        <w:rPr>
          <w:rFonts w:ascii="Calibri" w:eastAsia="微软雅黑" w:hAnsi="Calibri"/>
          <w:szCs w:val="22"/>
        </w:rPr>
        <w:t>“</w:t>
      </w:r>
      <w:r>
        <w:rPr>
          <w:rFonts w:ascii="Calibri" w:eastAsia="微软雅黑" w:hAnsi="Calibri"/>
          <w:szCs w:val="22"/>
        </w:rPr>
        <w:t>正向逻辑</w:t>
      </w:r>
      <w:r>
        <w:rPr>
          <w:rFonts w:ascii="Calibri" w:eastAsia="微软雅黑" w:hAnsi="Calibri"/>
          <w:szCs w:val="22"/>
        </w:rPr>
        <w:t xml:space="preserve"> + </w:t>
      </w:r>
      <w:r>
        <w:rPr>
          <w:rFonts w:ascii="Calibri" w:eastAsia="微软雅黑" w:hAnsi="Calibri"/>
          <w:szCs w:val="22"/>
        </w:rPr>
        <w:t>反向风险</w:t>
      </w:r>
      <w:r>
        <w:rPr>
          <w:rFonts w:ascii="Calibri" w:eastAsia="微软雅黑" w:hAnsi="Calibri"/>
          <w:szCs w:val="22"/>
        </w:rPr>
        <w:t xml:space="preserve"> + </w:t>
      </w:r>
      <w:r>
        <w:rPr>
          <w:rFonts w:ascii="Calibri" w:eastAsia="微软雅黑" w:hAnsi="Calibri"/>
          <w:szCs w:val="22"/>
        </w:rPr>
        <w:t>触发条件</w:t>
      </w:r>
      <w:r>
        <w:rPr>
          <w:rFonts w:ascii="Calibri" w:eastAsia="微软雅黑" w:hAnsi="Calibri"/>
          <w:szCs w:val="22"/>
        </w:rPr>
        <w:t>”</w:t>
      </w:r>
      <w:r>
        <w:rPr>
          <w:rFonts w:ascii="Calibri" w:eastAsia="微软雅黑" w:hAnsi="Calibri"/>
          <w:szCs w:val="22"/>
        </w:rPr>
        <w:t>三段式表述。</w:t>
      </w:r>
    </w:p>
    <w:p w14:paraId="36348625" w14:textId="77777777" w:rsidR="000E1477" w:rsidRDefault="000E1477"/>
    <w:p w14:paraId="180B12D5" w14:textId="77777777" w:rsidR="000E1477" w:rsidRDefault="00000000">
      <w:pPr>
        <w:spacing w:after="60" w:line="360" w:lineRule="auto"/>
      </w:pPr>
      <w:r>
        <w:rPr>
          <w:rFonts w:ascii="Calibri" w:eastAsia="微软雅黑" w:hAnsi="Calibri"/>
          <w:szCs w:val="22"/>
        </w:rPr>
        <w:t>建议覆盖的内容：</w:t>
      </w:r>
    </w:p>
    <w:p w14:paraId="7BDE439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历史数据外推失效风险。</w:t>
      </w:r>
    </w:p>
    <w:p w14:paraId="18D45D10"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宏观和政策变量反向变化风险。</w:t>
      </w:r>
    </w:p>
    <w:p w14:paraId="2602FADE"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特有风险，如流动性不足、折溢价扩大、跟踪误差抬升。</w:t>
      </w:r>
    </w:p>
    <w:p w14:paraId="5B5ED82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若结论依赖单一变量，应明确该变量失效后的风险后果。</w:t>
      </w:r>
    </w:p>
    <w:p w14:paraId="6096871C" w14:textId="77777777" w:rsidR="000E1477" w:rsidRDefault="000E1477"/>
    <w:p w14:paraId="09CA398E" w14:textId="77777777" w:rsidR="000E1477" w:rsidRDefault="00000000">
      <w:pPr>
        <w:spacing w:after="60" w:line="360" w:lineRule="auto"/>
      </w:pPr>
      <w:r>
        <w:rPr>
          <w:rFonts w:ascii="Calibri" w:eastAsia="微软雅黑" w:hAnsi="Calibri"/>
          <w:szCs w:val="22"/>
        </w:rPr>
        <w:t>建议呈现方式：</w:t>
      </w:r>
    </w:p>
    <w:p w14:paraId="2E0EC42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每个核心结论后可附对应反向风险。</w:t>
      </w:r>
    </w:p>
    <w:p w14:paraId="078784D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在正文末尾单列</w:t>
      </w:r>
      <w:r>
        <w:rPr>
          <w:rFonts w:ascii="Calibri" w:eastAsia="微软雅黑" w:hAnsi="Calibri"/>
          <w:szCs w:val="22"/>
        </w:rPr>
        <w:t>“</w:t>
      </w:r>
      <w:r>
        <w:rPr>
          <w:rFonts w:ascii="Calibri" w:eastAsia="微软雅黑" w:hAnsi="Calibri"/>
          <w:szCs w:val="22"/>
        </w:rPr>
        <w:t>主要风险与触发条件</w:t>
      </w:r>
      <w:r>
        <w:rPr>
          <w:rFonts w:ascii="Calibri" w:eastAsia="微软雅黑" w:hAnsi="Calibri"/>
          <w:szCs w:val="22"/>
        </w:rPr>
        <w:t>”</w:t>
      </w:r>
      <w:r>
        <w:rPr>
          <w:rFonts w:ascii="Calibri" w:eastAsia="微软雅黑" w:hAnsi="Calibri"/>
          <w:szCs w:val="22"/>
        </w:rPr>
        <w:t>表格。</w:t>
      </w:r>
    </w:p>
    <w:p w14:paraId="74FF742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对于跨境、商品、主题类高波动产品，风险提示应适当展开，不宜过短。</w:t>
      </w:r>
    </w:p>
    <w:p w14:paraId="07172242" w14:textId="77777777" w:rsidR="000E1477" w:rsidRDefault="000E1477"/>
    <w:p w14:paraId="1D89F2A7" w14:textId="77777777" w:rsidR="000E1477" w:rsidRDefault="00000000">
      <w:pPr>
        <w:spacing w:before="120" w:after="120"/>
      </w:pPr>
      <w:r>
        <w:rPr>
          <w:rFonts w:ascii="Calibri" w:eastAsia="微软雅黑" w:hAnsi="Calibri"/>
          <w:b/>
          <w:sz w:val="28"/>
          <w:szCs w:val="28"/>
        </w:rPr>
        <w:t>二、各类</w:t>
      </w:r>
      <w:r>
        <w:rPr>
          <w:rFonts w:ascii="Calibri" w:eastAsia="微软雅黑" w:hAnsi="Calibri"/>
          <w:b/>
          <w:sz w:val="28"/>
          <w:szCs w:val="28"/>
        </w:rPr>
        <w:t>ETF</w:t>
      </w:r>
      <w:r>
        <w:rPr>
          <w:rFonts w:ascii="Calibri" w:eastAsia="微软雅黑" w:hAnsi="Calibri"/>
          <w:b/>
          <w:sz w:val="28"/>
          <w:szCs w:val="28"/>
        </w:rPr>
        <w:t>差异化报告模板</w:t>
      </w:r>
    </w:p>
    <w:p w14:paraId="502EBEBE" w14:textId="77777777" w:rsidR="000E1477" w:rsidRDefault="000E1477"/>
    <w:p w14:paraId="2C586334" w14:textId="77777777" w:rsidR="000E1477" w:rsidRDefault="00000000">
      <w:pPr>
        <w:spacing w:before="120" w:after="120"/>
      </w:pPr>
      <w:r>
        <w:rPr>
          <w:rFonts w:ascii="Calibri" w:eastAsia="微软雅黑" w:hAnsi="Calibri"/>
          <w:b/>
          <w:sz w:val="28"/>
          <w:szCs w:val="28"/>
        </w:rPr>
        <w:t xml:space="preserve">1. </w:t>
      </w:r>
      <w:r>
        <w:rPr>
          <w:rFonts w:ascii="Calibri" w:eastAsia="微软雅黑" w:hAnsi="Calibri"/>
          <w:b/>
          <w:sz w:val="28"/>
          <w:szCs w:val="28"/>
        </w:rPr>
        <w:t>宽基</w:t>
      </w:r>
      <w:r>
        <w:rPr>
          <w:rFonts w:ascii="Calibri" w:eastAsia="微软雅黑" w:hAnsi="Calibri"/>
          <w:b/>
          <w:sz w:val="28"/>
          <w:szCs w:val="28"/>
        </w:rPr>
        <w:t>ETF</w:t>
      </w:r>
      <w:r>
        <w:rPr>
          <w:rFonts w:ascii="Calibri" w:eastAsia="微软雅黑" w:hAnsi="Calibri"/>
          <w:b/>
          <w:sz w:val="28"/>
          <w:szCs w:val="28"/>
        </w:rPr>
        <w:t>模板</w:t>
      </w:r>
    </w:p>
    <w:p w14:paraId="55E2961C" w14:textId="77777777" w:rsidR="000E1477" w:rsidRDefault="000E1477"/>
    <w:p w14:paraId="70A5904D" w14:textId="77777777" w:rsidR="000E1477" w:rsidRDefault="00000000">
      <w:pPr>
        <w:spacing w:before="100" w:after="100"/>
      </w:pPr>
      <w:r>
        <w:rPr>
          <w:rFonts w:ascii="Calibri" w:eastAsia="微软雅黑" w:hAnsi="Calibri"/>
          <w:b/>
          <w:sz w:val="24"/>
        </w:rPr>
        <w:t>建议章节</w:t>
      </w:r>
    </w:p>
    <w:p w14:paraId="1A9DDBE7"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市场风格判断与宽基分析切入点。</w:t>
      </w:r>
    </w:p>
    <w:p w14:paraId="3509DF32"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指数定位、覆盖范围与编制规则。</w:t>
      </w:r>
    </w:p>
    <w:p w14:paraId="56C4566E"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市值风格、行业结构与核心成分分析。</w:t>
      </w:r>
    </w:p>
    <w:p w14:paraId="4534AEED"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历史收益风险特征及牛熊阶段表现。</w:t>
      </w:r>
    </w:p>
    <w:p w14:paraId="11278255"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当前估值水平与长期表现特征。</w:t>
      </w:r>
    </w:p>
    <w:p w14:paraId="33BFAE41"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产品特征、流动性与同类宽基工具比较。</w:t>
      </w:r>
    </w:p>
    <w:p w14:paraId="5B8CB001"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使用情形与风险提示。</w:t>
      </w:r>
    </w:p>
    <w:p w14:paraId="3F48FFA3" w14:textId="77777777" w:rsidR="000E1477" w:rsidRDefault="000E1477"/>
    <w:p w14:paraId="6E83F1EB" w14:textId="77777777" w:rsidR="000E1477" w:rsidRDefault="00000000">
      <w:pPr>
        <w:spacing w:before="100" w:after="100"/>
      </w:pPr>
      <w:r>
        <w:rPr>
          <w:rFonts w:ascii="Calibri" w:eastAsia="微软雅黑" w:hAnsi="Calibri"/>
          <w:b/>
          <w:sz w:val="24"/>
        </w:rPr>
        <w:lastRenderedPageBreak/>
        <w:t>重点分析内容</w:t>
      </w:r>
    </w:p>
    <w:p w14:paraId="56E4BF2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明确该宽基代表的是哪一类市场贝塔，是全市场核心资产，还是某一层市值风格的代表。</w:t>
      </w:r>
    </w:p>
    <w:p w14:paraId="2087167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说明其大盘、中盘、小盘风格暴露，以及是否存在明显偏价值、偏成长、偏周期的结构特征。</w:t>
      </w:r>
    </w:p>
    <w:p w14:paraId="7975830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分析行业配置是否均衡，是否对金融、消费、科技、周期等板块有显著偏离。</w:t>
      </w:r>
    </w:p>
    <w:p w14:paraId="2C30C5C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与沪深</w:t>
      </w:r>
      <w:r>
        <w:rPr>
          <w:rFonts w:ascii="Calibri" w:eastAsia="微软雅黑" w:hAnsi="Calibri"/>
          <w:szCs w:val="22"/>
        </w:rPr>
        <w:t>300</w:t>
      </w:r>
      <w:r>
        <w:rPr>
          <w:rFonts w:ascii="Calibri" w:eastAsia="微软雅黑" w:hAnsi="Calibri"/>
          <w:szCs w:val="22"/>
        </w:rPr>
        <w:t>、中证</w:t>
      </w:r>
      <w:r>
        <w:rPr>
          <w:rFonts w:ascii="Calibri" w:eastAsia="微软雅黑" w:hAnsi="Calibri"/>
          <w:szCs w:val="22"/>
        </w:rPr>
        <w:t>500</w:t>
      </w:r>
      <w:r>
        <w:rPr>
          <w:rFonts w:ascii="Calibri" w:eastAsia="微软雅黑" w:hAnsi="Calibri"/>
          <w:szCs w:val="22"/>
        </w:rPr>
        <w:t>、中证</w:t>
      </w:r>
      <w:r>
        <w:rPr>
          <w:rFonts w:ascii="Calibri" w:eastAsia="微软雅黑" w:hAnsi="Calibri"/>
          <w:szCs w:val="22"/>
        </w:rPr>
        <w:t>1000</w:t>
      </w:r>
      <w:r>
        <w:rPr>
          <w:rFonts w:ascii="Calibri" w:eastAsia="微软雅黑" w:hAnsi="Calibri"/>
          <w:szCs w:val="22"/>
        </w:rPr>
        <w:t>、中证</w:t>
      </w:r>
      <w:r>
        <w:rPr>
          <w:rFonts w:ascii="Calibri" w:eastAsia="微软雅黑" w:hAnsi="Calibri"/>
          <w:szCs w:val="22"/>
        </w:rPr>
        <w:t>A500</w:t>
      </w:r>
      <w:r>
        <w:rPr>
          <w:rFonts w:ascii="Calibri" w:eastAsia="微软雅黑" w:hAnsi="Calibri"/>
          <w:szCs w:val="22"/>
        </w:rPr>
        <w:t>等主流宽基相比，说明其差异化特征、可能的互补关系和适用边界。</w:t>
      </w:r>
    </w:p>
    <w:p w14:paraId="661FAD6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说明其可分别用于长期底仓、风格切换观察或阶段性增强等不同用途。</w:t>
      </w:r>
    </w:p>
    <w:p w14:paraId="684CCB11" w14:textId="77777777" w:rsidR="000E1477" w:rsidRDefault="000E1477"/>
    <w:p w14:paraId="65174C46" w14:textId="77777777" w:rsidR="000E1477" w:rsidRDefault="00000000">
      <w:pPr>
        <w:spacing w:before="100" w:after="100"/>
      </w:pPr>
      <w:r>
        <w:rPr>
          <w:rFonts w:ascii="Calibri" w:eastAsia="微软雅黑" w:hAnsi="Calibri"/>
          <w:b/>
          <w:sz w:val="24"/>
        </w:rPr>
        <w:t>核心数据</w:t>
      </w:r>
    </w:p>
    <w:p w14:paraId="49D6185C" w14:textId="77777777" w:rsidR="000E1477" w:rsidRDefault="00000000">
      <w:pPr>
        <w:spacing w:after="40"/>
        <w:ind w:left="420" w:hanging="210"/>
      </w:pPr>
      <w:r>
        <w:rPr>
          <w:rFonts w:ascii="Calibri" w:eastAsia="微软雅黑" w:hAnsi="Calibri"/>
          <w:szCs w:val="22"/>
        </w:rPr>
        <w:t>• PE</w:t>
      </w:r>
      <w:r>
        <w:rPr>
          <w:rFonts w:ascii="Calibri" w:eastAsia="微软雅黑" w:hAnsi="Calibri"/>
          <w:szCs w:val="22"/>
        </w:rPr>
        <w:t>、</w:t>
      </w:r>
      <w:r>
        <w:rPr>
          <w:rFonts w:ascii="Calibri" w:eastAsia="微软雅黑" w:hAnsi="Calibri"/>
          <w:szCs w:val="22"/>
        </w:rPr>
        <w:t>PB</w:t>
      </w:r>
      <w:r>
        <w:rPr>
          <w:rFonts w:ascii="Calibri" w:eastAsia="微软雅黑" w:hAnsi="Calibri"/>
          <w:szCs w:val="22"/>
        </w:rPr>
        <w:t>、</w:t>
      </w:r>
      <w:r>
        <w:rPr>
          <w:rFonts w:ascii="Calibri" w:eastAsia="微软雅黑" w:hAnsi="Calibri"/>
          <w:szCs w:val="22"/>
        </w:rPr>
        <w:t>ROE</w:t>
      </w:r>
      <w:r>
        <w:rPr>
          <w:rFonts w:ascii="Calibri" w:eastAsia="微软雅黑" w:hAnsi="Calibri"/>
          <w:szCs w:val="22"/>
        </w:rPr>
        <w:t>、股息率及其历史分位。</w:t>
      </w:r>
    </w:p>
    <w:p w14:paraId="35714FB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市值分布、行业分布、前十大成分股权重、龙头集中度。</w:t>
      </w:r>
    </w:p>
    <w:p w14:paraId="570C3EE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与主流宽基在不同市场阶段下的收益、波动和回撤比较。</w:t>
      </w:r>
    </w:p>
    <w:p w14:paraId="0BD6F852"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规模、成交额、费率、跟踪误差、折溢价表现。</w:t>
      </w:r>
    </w:p>
    <w:p w14:paraId="51011CAF" w14:textId="77777777" w:rsidR="000E1477" w:rsidRDefault="000E1477"/>
    <w:p w14:paraId="32B63693" w14:textId="77777777" w:rsidR="000E1477" w:rsidRDefault="00000000">
      <w:pPr>
        <w:spacing w:before="100" w:after="100"/>
      </w:pPr>
      <w:r>
        <w:rPr>
          <w:rFonts w:ascii="Calibri" w:eastAsia="微软雅黑" w:hAnsi="Calibri"/>
          <w:b/>
          <w:sz w:val="24"/>
        </w:rPr>
        <w:t>建议补充图表</w:t>
      </w:r>
    </w:p>
    <w:p w14:paraId="1358667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市值风格分布图。</w:t>
      </w:r>
    </w:p>
    <w:p w14:paraId="415ECA0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与主流宽基收益回撤对比表。</w:t>
      </w:r>
    </w:p>
    <w:p w14:paraId="6C7850B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宽基估值分位对比图。</w:t>
      </w:r>
    </w:p>
    <w:p w14:paraId="5EBE74B2" w14:textId="77777777" w:rsidR="000E1477" w:rsidRDefault="000E1477"/>
    <w:p w14:paraId="4B8FAB41" w14:textId="77777777" w:rsidR="000E1477" w:rsidRDefault="00000000">
      <w:pPr>
        <w:spacing w:before="120" w:after="120"/>
      </w:pPr>
      <w:r>
        <w:rPr>
          <w:rFonts w:ascii="Calibri" w:eastAsia="微软雅黑" w:hAnsi="Calibri"/>
          <w:b/>
          <w:sz w:val="28"/>
          <w:szCs w:val="28"/>
        </w:rPr>
        <w:t xml:space="preserve">2. </w:t>
      </w:r>
      <w:r>
        <w:rPr>
          <w:rFonts w:ascii="Calibri" w:eastAsia="微软雅黑" w:hAnsi="Calibri"/>
          <w:b/>
          <w:sz w:val="28"/>
          <w:szCs w:val="28"/>
        </w:rPr>
        <w:t>行业</w:t>
      </w:r>
      <w:r>
        <w:rPr>
          <w:rFonts w:ascii="Calibri" w:eastAsia="微软雅黑" w:hAnsi="Calibri"/>
          <w:b/>
          <w:sz w:val="28"/>
          <w:szCs w:val="28"/>
        </w:rPr>
        <w:t>ETF</w:t>
      </w:r>
      <w:r>
        <w:rPr>
          <w:rFonts w:ascii="Calibri" w:eastAsia="微软雅黑" w:hAnsi="Calibri"/>
          <w:b/>
          <w:sz w:val="28"/>
          <w:szCs w:val="28"/>
        </w:rPr>
        <w:t>模板</w:t>
      </w:r>
    </w:p>
    <w:p w14:paraId="61A9A73D" w14:textId="77777777" w:rsidR="000E1477" w:rsidRDefault="000E1477"/>
    <w:p w14:paraId="4481CC11" w14:textId="77777777" w:rsidR="000E1477" w:rsidRDefault="00000000">
      <w:pPr>
        <w:spacing w:before="100" w:after="100"/>
      </w:pPr>
      <w:r>
        <w:rPr>
          <w:rFonts w:ascii="Calibri" w:eastAsia="微软雅黑" w:hAnsi="Calibri"/>
          <w:b/>
          <w:sz w:val="24"/>
        </w:rPr>
        <w:t>建议章节</w:t>
      </w:r>
    </w:p>
    <w:p w14:paraId="427E7A26"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行业景气度与政策环境判断。</w:t>
      </w:r>
    </w:p>
    <w:p w14:paraId="0920D2B5"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行业所处周期位置及核心驱动变量。</w:t>
      </w:r>
    </w:p>
    <w:p w14:paraId="4B40277F"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行业指数编制规则与行业覆盖边界。</w:t>
      </w:r>
    </w:p>
    <w:p w14:paraId="77380062"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细分赛道结构、龙头公司与盈利质量分析。</w:t>
      </w:r>
    </w:p>
    <w:p w14:paraId="3A73BA38" w14:textId="77777777" w:rsidR="000E1477" w:rsidRDefault="00000000">
      <w:pPr>
        <w:spacing w:after="60" w:line="360" w:lineRule="auto"/>
      </w:pPr>
      <w:r>
        <w:rPr>
          <w:rFonts w:ascii="Calibri" w:eastAsia="微软雅黑" w:hAnsi="Calibri"/>
          <w:szCs w:val="22"/>
        </w:rPr>
        <w:lastRenderedPageBreak/>
        <w:t xml:space="preserve">5. </w:t>
      </w:r>
      <w:r>
        <w:rPr>
          <w:rFonts w:ascii="Calibri" w:eastAsia="微软雅黑" w:hAnsi="Calibri"/>
          <w:szCs w:val="22"/>
        </w:rPr>
        <w:t>行业指数历史波动特征、估值水平与景气匹配度。</w:t>
      </w:r>
    </w:p>
    <w:p w14:paraId="04BBD1AF"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产品工具属性、交易活跃度与替代工具比较。</w:t>
      </w:r>
    </w:p>
    <w:p w14:paraId="3467EA29"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使用情形与风险提示。</w:t>
      </w:r>
    </w:p>
    <w:p w14:paraId="118EFA98" w14:textId="77777777" w:rsidR="000E1477" w:rsidRDefault="000E1477"/>
    <w:p w14:paraId="35304893" w14:textId="77777777" w:rsidR="000E1477" w:rsidRDefault="00000000">
      <w:pPr>
        <w:spacing w:before="100" w:after="100"/>
      </w:pPr>
      <w:r>
        <w:rPr>
          <w:rFonts w:ascii="Calibri" w:eastAsia="微软雅黑" w:hAnsi="Calibri"/>
          <w:b/>
          <w:sz w:val="24"/>
        </w:rPr>
        <w:t>重点分析内容</w:t>
      </w:r>
    </w:p>
    <w:p w14:paraId="185D017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判断行业当前处在上行、筑底、去库、出清还是复苏阶段。</w:t>
      </w:r>
    </w:p>
    <w:p w14:paraId="430D6EA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拆解影响行业走势的核心变量，如价格、需求、产能、资本开支、政策支持强度等。</w:t>
      </w:r>
    </w:p>
    <w:p w14:paraId="755A8FE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评估指数是否真正覆盖行业核心资产，是否存在遗漏关键龙头、细分赛道失真或行业边界偏差。</w:t>
      </w:r>
    </w:p>
    <w:p w14:paraId="2E5044B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说明行业</w:t>
      </w:r>
      <w:r>
        <w:rPr>
          <w:rFonts w:ascii="Calibri" w:eastAsia="微软雅黑" w:hAnsi="Calibri"/>
          <w:szCs w:val="22"/>
        </w:rPr>
        <w:t>ETF</w:t>
      </w:r>
      <w:r>
        <w:rPr>
          <w:rFonts w:ascii="Calibri" w:eastAsia="微软雅黑" w:hAnsi="Calibri"/>
          <w:szCs w:val="22"/>
        </w:rPr>
        <w:t>可分别用于趋势交易、左侧观察或中长期产业跟踪等不同情形。</w:t>
      </w:r>
    </w:p>
    <w:p w14:paraId="58694DF0"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对于高波动行业，应同时分析盈利波动和估值波动两个维度。</w:t>
      </w:r>
    </w:p>
    <w:p w14:paraId="5ADFDD22" w14:textId="77777777" w:rsidR="000E1477" w:rsidRDefault="000E1477"/>
    <w:p w14:paraId="59333F3C" w14:textId="77777777" w:rsidR="000E1477" w:rsidRDefault="00000000">
      <w:pPr>
        <w:spacing w:before="100" w:after="100"/>
      </w:pPr>
      <w:r>
        <w:rPr>
          <w:rFonts w:ascii="Calibri" w:eastAsia="微软雅黑" w:hAnsi="Calibri"/>
          <w:b/>
          <w:sz w:val="24"/>
        </w:rPr>
        <w:t>核心数据</w:t>
      </w:r>
    </w:p>
    <w:p w14:paraId="1E0DD17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行业营收增速、利润增速、资本开支、库存周期、价格指标。</w:t>
      </w:r>
    </w:p>
    <w:p w14:paraId="132A897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行业指数</w:t>
      </w:r>
      <w:r>
        <w:rPr>
          <w:rFonts w:ascii="Calibri" w:eastAsia="微软雅黑" w:hAnsi="Calibri"/>
          <w:szCs w:val="22"/>
        </w:rPr>
        <w:t>PE</w:t>
      </w:r>
      <w:r>
        <w:rPr>
          <w:rFonts w:ascii="Calibri" w:eastAsia="微软雅黑" w:hAnsi="Calibri"/>
          <w:szCs w:val="22"/>
        </w:rPr>
        <w:t>、</w:t>
      </w:r>
      <w:r>
        <w:rPr>
          <w:rFonts w:ascii="Calibri" w:eastAsia="微软雅黑" w:hAnsi="Calibri"/>
          <w:szCs w:val="22"/>
        </w:rPr>
        <w:t>PB</w:t>
      </w:r>
      <w:r>
        <w:rPr>
          <w:rFonts w:ascii="Calibri" w:eastAsia="微软雅黑" w:hAnsi="Calibri"/>
          <w:szCs w:val="22"/>
        </w:rPr>
        <w:t>、</w:t>
      </w:r>
      <w:r>
        <w:rPr>
          <w:rFonts w:ascii="Calibri" w:eastAsia="微软雅黑" w:hAnsi="Calibri"/>
          <w:szCs w:val="22"/>
        </w:rPr>
        <w:t>EV/EBITDA</w:t>
      </w:r>
      <w:r>
        <w:rPr>
          <w:rFonts w:ascii="Calibri" w:eastAsia="微软雅黑" w:hAnsi="Calibri"/>
          <w:szCs w:val="22"/>
        </w:rPr>
        <w:t>等估值指标及历史分位。</w:t>
      </w:r>
    </w:p>
    <w:p w14:paraId="61E7968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细分赛道权重、龙头股集中度、盈利预测修正情况。</w:t>
      </w:r>
    </w:p>
    <w:p w14:paraId="0C85C6A2"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流动性、资金流入流出、换手率与折溢价表现。</w:t>
      </w:r>
    </w:p>
    <w:p w14:paraId="0321DA52" w14:textId="77777777" w:rsidR="000E1477" w:rsidRDefault="000E1477"/>
    <w:p w14:paraId="44C1285F" w14:textId="77777777" w:rsidR="000E1477" w:rsidRDefault="00000000">
      <w:pPr>
        <w:spacing w:before="100" w:after="100"/>
      </w:pPr>
      <w:r>
        <w:rPr>
          <w:rFonts w:ascii="Calibri" w:eastAsia="微软雅黑" w:hAnsi="Calibri"/>
          <w:b/>
          <w:sz w:val="24"/>
        </w:rPr>
        <w:t>建议补充图表</w:t>
      </w:r>
    </w:p>
    <w:p w14:paraId="4136A147"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行业景气指标趋势图。</w:t>
      </w:r>
    </w:p>
    <w:p w14:paraId="67D5E65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细分赛道权重分布图。</w:t>
      </w:r>
    </w:p>
    <w:p w14:paraId="13F1ED9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行业指数估值与盈利增速对照图。</w:t>
      </w:r>
    </w:p>
    <w:p w14:paraId="4333D7B3" w14:textId="77777777" w:rsidR="000E1477" w:rsidRDefault="000E1477"/>
    <w:p w14:paraId="36E6C9D1" w14:textId="77777777" w:rsidR="000E1477" w:rsidRDefault="00000000">
      <w:pPr>
        <w:spacing w:before="100" w:after="100"/>
      </w:pPr>
      <w:r>
        <w:rPr>
          <w:rFonts w:ascii="Calibri" w:eastAsia="微软雅黑" w:hAnsi="Calibri"/>
          <w:b/>
          <w:sz w:val="24"/>
        </w:rPr>
        <w:t>分析侧重点</w:t>
      </w:r>
    </w:p>
    <w:p w14:paraId="4ED91DF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科技类行业可重点展开技术周期、政策催化、资本开支和订单验证。</w:t>
      </w:r>
    </w:p>
    <w:p w14:paraId="7A5F215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资源品类行业可重点展开供需关系、库存周期、地缘冲击和价格敏感性。</w:t>
      </w:r>
    </w:p>
    <w:p w14:paraId="2E8EB83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金融地产等权重行业可重点展开政策约束、资产质量和估值调整可能性。</w:t>
      </w:r>
    </w:p>
    <w:p w14:paraId="343DACAF" w14:textId="77777777" w:rsidR="000E1477" w:rsidRDefault="000E1477"/>
    <w:p w14:paraId="3D1690D6" w14:textId="77777777" w:rsidR="000E1477" w:rsidRDefault="00000000">
      <w:pPr>
        <w:spacing w:before="120" w:after="120"/>
      </w:pPr>
      <w:r>
        <w:rPr>
          <w:rFonts w:ascii="Calibri" w:eastAsia="微软雅黑" w:hAnsi="Calibri"/>
          <w:b/>
          <w:sz w:val="28"/>
          <w:szCs w:val="28"/>
        </w:rPr>
        <w:t xml:space="preserve">3. </w:t>
      </w:r>
      <w:r>
        <w:rPr>
          <w:rFonts w:ascii="Calibri" w:eastAsia="微软雅黑" w:hAnsi="Calibri"/>
          <w:b/>
          <w:sz w:val="28"/>
          <w:szCs w:val="28"/>
        </w:rPr>
        <w:t>主题</w:t>
      </w:r>
      <w:r>
        <w:rPr>
          <w:rFonts w:ascii="Calibri" w:eastAsia="微软雅黑" w:hAnsi="Calibri"/>
          <w:b/>
          <w:sz w:val="28"/>
          <w:szCs w:val="28"/>
        </w:rPr>
        <w:t>ETF</w:t>
      </w:r>
      <w:r>
        <w:rPr>
          <w:rFonts w:ascii="Calibri" w:eastAsia="微软雅黑" w:hAnsi="Calibri"/>
          <w:b/>
          <w:sz w:val="28"/>
          <w:szCs w:val="28"/>
        </w:rPr>
        <w:t>模板</w:t>
      </w:r>
    </w:p>
    <w:p w14:paraId="25BF44B9" w14:textId="77777777" w:rsidR="000E1477" w:rsidRDefault="000E1477"/>
    <w:p w14:paraId="35BC4506" w14:textId="77777777" w:rsidR="000E1477" w:rsidRDefault="00000000">
      <w:pPr>
        <w:spacing w:before="100" w:after="100"/>
      </w:pPr>
      <w:r>
        <w:rPr>
          <w:rFonts w:ascii="Calibri" w:eastAsia="微软雅黑" w:hAnsi="Calibri"/>
          <w:b/>
          <w:sz w:val="24"/>
        </w:rPr>
        <w:t>建议章节</w:t>
      </w:r>
    </w:p>
    <w:p w14:paraId="12B0CC87"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主题投资主线与近期事件催化。</w:t>
      </w:r>
    </w:p>
    <w:p w14:paraId="23A30640"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主题所处产业阶段及中长期空间判断。</w:t>
      </w:r>
    </w:p>
    <w:p w14:paraId="4033895C"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指数主题纯度与成分筛选逻辑。</w:t>
      </w:r>
    </w:p>
    <w:p w14:paraId="14296C89"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主题内部细分方向拆解与核心公司画像。</w:t>
      </w:r>
    </w:p>
    <w:p w14:paraId="14357CA5"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主题指数波动特征、回撤、估值与拥挤度分析。</w:t>
      </w:r>
    </w:p>
    <w:p w14:paraId="62FB743F"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产品定位、交易属性与使用情形。</w:t>
      </w:r>
    </w:p>
    <w:p w14:paraId="63A77877"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风险提示与触发条件。</w:t>
      </w:r>
    </w:p>
    <w:p w14:paraId="2AC5566E" w14:textId="77777777" w:rsidR="000E1477" w:rsidRDefault="000E1477"/>
    <w:p w14:paraId="6F9194B2" w14:textId="77777777" w:rsidR="000E1477" w:rsidRDefault="00000000">
      <w:pPr>
        <w:spacing w:before="100" w:after="100"/>
      </w:pPr>
      <w:r>
        <w:rPr>
          <w:rFonts w:ascii="Calibri" w:eastAsia="微软雅黑" w:hAnsi="Calibri"/>
          <w:b/>
          <w:sz w:val="24"/>
        </w:rPr>
        <w:t>重点分析内容</w:t>
      </w:r>
    </w:p>
    <w:p w14:paraId="3F026F9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判断该主题是短期事件交易，还是有中长期产业趋势支撑。</w:t>
      </w:r>
    </w:p>
    <w:p w14:paraId="5B7FE8A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评估指数成分对主题的纯度是否足够，是否存在泛主题化或概念化问题。</w:t>
      </w:r>
    </w:p>
    <w:p w14:paraId="550DC8C7"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若主题横跨多个行业，需做跨行业穿透，说明核心收益来源到底在哪些环节。</w:t>
      </w:r>
    </w:p>
    <w:p w14:paraId="0CDC604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分析主题投资的核心矛盾是盈利兑现、估值扩张、政策预期还是技术突破。</w:t>
      </w:r>
    </w:p>
    <w:p w14:paraId="7D66191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对于高热度主题，还应提示交易拥挤度和预期透支风险。</w:t>
      </w:r>
    </w:p>
    <w:p w14:paraId="50DCB7DB" w14:textId="77777777" w:rsidR="000E1477" w:rsidRDefault="000E1477"/>
    <w:p w14:paraId="3E863130" w14:textId="77777777" w:rsidR="000E1477" w:rsidRDefault="00000000">
      <w:pPr>
        <w:spacing w:before="100" w:after="100"/>
      </w:pPr>
      <w:r>
        <w:rPr>
          <w:rFonts w:ascii="Calibri" w:eastAsia="微软雅黑" w:hAnsi="Calibri"/>
          <w:b/>
          <w:sz w:val="24"/>
        </w:rPr>
        <w:t>核心数据</w:t>
      </w:r>
    </w:p>
    <w:p w14:paraId="3D19D61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主题相关政策、产业进展、项目落地、订单验证、新闻热度。</w:t>
      </w:r>
    </w:p>
    <w:p w14:paraId="2337913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成分股业务拆分、主题纯度指标、龙头公司收入结构。</w:t>
      </w:r>
    </w:p>
    <w:p w14:paraId="25CAC8C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预期净利润增速、</w:t>
      </w:r>
      <w:r>
        <w:rPr>
          <w:rFonts w:ascii="Calibri" w:eastAsia="微软雅黑" w:hAnsi="Calibri"/>
          <w:szCs w:val="22"/>
        </w:rPr>
        <w:t>PEG</w:t>
      </w:r>
      <w:r>
        <w:rPr>
          <w:rFonts w:ascii="Calibri" w:eastAsia="微软雅黑" w:hAnsi="Calibri"/>
          <w:szCs w:val="22"/>
        </w:rPr>
        <w:t>、</w:t>
      </w:r>
      <w:r>
        <w:rPr>
          <w:rFonts w:ascii="Calibri" w:eastAsia="微软雅黑" w:hAnsi="Calibri"/>
          <w:szCs w:val="22"/>
        </w:rPr>
        <w:t>PE</w:t>
      </w:r>
      <w:r>
        <w:rPr>
          <w:rFonts w:ascii="Calibri" w:eastAsia="微软雅黑" w:hAnsi="Calibri"/>
          <w:szCs w:val="22"/>
        </w:rPr>
        <w:t>分位、主题指数相对宽基超额收益。</w:t>
      </w:r>
    </w:p>
    <w:p w14:paraId="6F85D71B"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规模变化、资金净流入、成交额和换手水平。</w:t>
      </w:r>
    </w:p>
    <w:p w14:paraId="7C9A0BF5" w14:textId="77777777" w:rsidR="000E1477" w:rsidRDefault="000E1477"/>
    <w:p w14:paraId="3CC9BE99" w14:textId="77777777" w:rsidR="000E1477" w:rsidRDefault="00000000">
      <w:pPr>
        <w:spacing w:before="100" w:after="100"/>
      </w:pPr>
      <w:r>
        <w:rPr>
          <w:rFonts w:ascii="Calibri" w:eastAsia="微软雅黑" w:hAnsi="Calibri"/>
          <w:b/>
          <w:sz w:val="24"/>
        </w:rPr>
        <w:lastRenderedPageBreak/>
        <w:t>建议补充图表</w:t>
      </w:r>
    </w:p>
    <w:p w14:paraId="22A1D28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主题产业链图谱。</w:t>
      </w:r>
    </w:p>
    <w:p w14:paraId="3515F11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主题纯度或业务占比对比表。</w:t>
      </w:r>
    </w:p>
    <w:p w14:paraId="25CFB33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主题指数与宽基超额收益走势图。</w:t>
      </w:r>
    </w:p>
    <w:p w14:paraId="2C1BEC80" w14:textId="77777777" w:rsidR="000E1477" w:rsidRDefault="000E1477"/>
    <w:p w14:paraId="464CACF6" w14:textId="77777777" w:rsidR="000E1477" w:rsidRDefault="00000000">
      <w:pPr>
        <w:spacing w:before="100" w:after="100"/>
      </w:pPr>
      <w:r>
        <w:rPr>
          <w:rFonts w:ascii="Calibri" w:eastAsia="微软雅黑" w:hAnsi="Calibri"/>
          <w:b/>
          <w:sz w:val="24"/>
        </w:rPr>
        <w:t>分析侧重点</w:t>
      </w:r>
    </w:p>
    <w:p w14:paraId="069437A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科技创新主题可重点展开产业进展、技术突破、算力或应用落地节奏。</w:t>
      </w:r>
    </w:p>
    <w:p w14:paraId="7F26E24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医疗医药主题可重点展开政策环境、创新能力、海外商业化和景气子赛道。</w:t>
      </w:r>
    </w:p>
    <w:p w14:paraId="11C44A0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国企改革、中特估等主题可重点展开制度红利、估值重塑和股东回报逻辑。</w:t>
      </w:r>
    </w:p>
    <w:p w14:paraId="32591F9A" w14:textId="77777777" w:rsidR="000E1477" w:rsidRDefault="000E1477"/>
    <w:p w14:paraId="201E12BE" w14:textId="77777777" w:rsidR="000E1477" w:rsidRDefault="00000000">
      <w:pPr>
        <w:spacing w:before="120" w:after="120"/>
      </w:pPr>
      <w:r>
        <w:rPr>
          <w:rFonts w:ascii="Calibri" w:eastAsia="微软雅黑" w:hAnsi="Calibri"/>
          <w:b/>
          <w:sz w:val="28"/>
          <w:szCs w:val="28"/>
        </w:rPr>
        <w:t>4. Smart Beta ETF</w:t>
      </w:r>
      <w:r>
        <w:rPr>
          <w:rFonts w:ascii="Calibri" w:eastAsia="微软雅黑" w:hAnsi="Calibri"/>
          <w:b/>
          <w:sz w:val="28"/>
          <w:szCs w:val="28"/>
        </w:rPr>
        <w:t>模板</w:t>
      </w:r>
    </w:p>
    <w:p w14:paraId="3CC1B48D" w14:textId="77777777" w:rsidR="000E1477" w:rsidRDefault="000E1477"/>
    <w:p w14:paraId="6E386188" w14:textId="77777777" w:rsidR="000E1477" w:rsidRDefault="00000000">
      <w:pPr>
        <w:spacing w:before="100" w:after="100"/>
      </w:pPr>
      <w:r>
        <w:rPr>
          <w:rFonts w:ascii="Calibri" w:eastAsia="微软雅黑" w:hAnsi="Calibri"/>
          <w:b/>
          <w:sz w:val="24"/>
        </w:rPr>
        <w:t>建议章节</w:t>
      </w:r>
    </w:p>
    <w:p w14:paraId="04029638"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因子逻辑及当前市场适配度。</w:t>
      </w:r>
    </w:p>
    <w:p w14:paraId="7249A6E7"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因子指数编制方法与选股规则。</w:t>
      </w:r>
    </w:p>
    <w:p w14:paraId="0E94CD7A"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因子暴露、行业偏离和风格特征分析。</w:t>
      </w:r>
    </w:p>
    <w:p w14:paraId="7D9B87F9"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因子长期表现、阶段表现与因子周期复盘。</w:t>
      </w:r>
    </w:p>
    <w:p w14:paraId="52BC66AC"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与相近风格或因子工具的差异比较。</w:t>
      </w:r>
    </w:p>
    <w:p w14:paraId="20BBC135"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产品特征与同类因子产品比较。</w:t>
      </w:r>
    </w:p>
    <w:p w14:paraId="5DEFD73C"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风险提示与因子失效情形。</w:t>
      </w:r>
    </w:p>
    <w:p w14:paraId="5520EF7D" w14:textId="77777777" w:rsidR="000E1477" w:rsidRDefault="000E1477"/>
    <w:p w14:paraId="6B906E51" w14:textId="77777777" w:rsidR="000E1477" w:rsidRDefault="00000000">
      <w:pPr>
        <w:spacing w:before="100" w:after="100"/>
      </w:pPr>
      <w:r>
        <w:rPr>
          <w:rFonts w:ascii="Calibri" w:eastAsia="微软雅黑" w:hAnsi="Calibri"/>
          <w:b/>
          <w:sz w:val="24"/>
        </w:rPr>
        <w:t>重点分析内容</w:t>
      </w:r>
    </w:p>
    <w:p w14:paraId="1EE5067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先明确该产品对应的是风格还是因子，避免概念混淆。</w:t>
      </w:r>
    </w:p>
    <w:p w14:paraId="53352857"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解释因子在当前市场环境下为什么有效，以及其生效依赖的宏观或风格前提。</w:t>
      </w:r>
    </w:p>
    <w:p w14:paraId="3959852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分析因子暴露是否稳定，是否因为行业偏离导致表面上看似因子收益，实则是行业收益。</w:t>
      </w:r>
    </w:p>
    <w:p w14:paraId="3A55B9BA" w14:textId="77777777" w:rsidR="000E1477" w:rsidRDefault="00000000">
      <w:pPr>
        <w:spacing w:after="40"/>
        <w:ind w:left="420" w:hanging="210"/>
      </w:pPr>
      <w:r>
        <w:rPr>
          <w:rFonts w:ascii="Calibri" w:eastAsia="微软雅黑" w:hAnsi="Calibri"/>
          <w:szCs w:val="22"/>
        </w:rPr>
        <w:lastRenderedPageBreak/>
        <w:t xml:space="preserve">• </w:t>
      </w:r>
      <w:r>
        <w:rPr>
          <w:rFonts w:ascii="Calibri" w:eastAsia="微软雅黑" w:hAnsi="Calibri"/>
          <w:szCs w:val="22"/>
        </w:rPr>
        <w:t>讨论是否存在拥挤交易、风格透支或因子轮动压力。</w:t>
      </w:r>
    </w:p>
    <w:p w14:paraId="05C2F3E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对于红利、低波、自由现金流、质量等工具，应强调其收益来源和防御属性的差异。</w:t>
      </w:r>
    </w:p>
    <w:p w14:paraId="2312DA61" w14:textId="77777777" w:rsidR="000E1477" w:rsidRDefault="000E1477"/>
    <w:p w14:paraId="25507456" w14:textId="77777777" w:rsidR="000E1477" w:rsidRDefault="00000000">
      <w:pPr>
        <w:spacing w:before="100" w:after="100"/>
      </w:pPr>
      <w:r>
        <w:rPr>
          <w:rFonts w:ascii="Calibri" w:eastAsia="微软雅黑" w:hAnsi="Calibri"/>
          <w:b/>
          <w:sz w:val="24"/>
        </w:rPr>
        <w:t>核心数据</w:t>
      </w:r>
    </w:p>
    <w:p w14:paraId="1A8BCA7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因子暴露值、换手率、行业偏离度、风格箱体分布。</w:t>
      </w:r>
    </w:p>
    <w:p w14:paraId="7FE29B5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历史超额收益、最大回撤、滚动胜率、年度表现分布。</w:t>
      </w:r>
    </w:p>
    <w:p w14:paraId="336EDC6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与红利、价值、低波、质量、成长等风格工具的相关性。</w:t>
      </w:r>
    </w:p>
    <w:p w14:paraId="3F096BD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指数成分股的股息率、自由现金流率、盈利质量或波动率指标。</w:t>
      </w:r>
    </w:p>
    <w:p w14:paraId="677B5246" w14:textId="77777777" w:rsidR="000E1477" w:rsidRDefault="000E1477"/>
    <w:p w14:paraId="01103D99" w14:textId="77777777" w:rsidR="000E1477" w:rsidRDefault="00000000">
      <w:pPr>
        <w:spacing w:before="100" w:after="100"/>
      </w:pPr>
      <w:r>
        <w:rPr>
          <w:rFonts w:ascii="Calibri" w:eastAsia="微软雅黑" w:hAnsi="Calibri"/>
          <w:b/>
          <w:sz w:val="24"/>
        </w:rPr>
        <w:t>建议补充图表</w:t>
      </w:r>
    </w:p>
    <w:p w14:paraId="6717B4D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因子收益分年度表现表。</w:t>
      </w:r>
    </w:p>
    <w:p w14:paraId="1381F7B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因子与主流风格相关性矩阵。</w:t>
      </w:r>
    </w:p>
    <w:p w14:paraId="7C09420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行业偏离和风格暴露雷达图。</w:t>
      </w:r>
    </w:p>
    <w:p w14:paraId="0A3808BA" w14:textId="77777777" w:rsidR="000E1477" w:rsidRDefault="000E1477"/>
    <w:p w14:paraId="22B381F1" w14:textId="77777777" w:rsidR="000E1477" w:rsidRDefault="00000000">
      <w:pPr>
        <w:spacing w:before="100" w:after="100"/>
      </w:pPr>
      <w:r>
        <w:rPr>
          <w:rFonts w:ascii="Calibri" w:eastAsia="微软雅黑" w:hAnsi="Calibri"/>
          <w:b/>
          <w:sz w:val="24"/>
        </w:rPr>
        <w:t>分析侧重点</w:t>
      </w:r>
    </w:p>
    <w:p w14:paraId="5B8CC12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红利类工具重点看股东回报、估值保护和防御属性。</w:t>
      </w:r>
    </w:p>
    <w:p w14:paraId="41DA133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自由现金流类工具重点看盈利质量、分红可持续性和穿越周期能力。</w:t>
      </w:r>
    </w:p>
    <w:p w14:paraId="6620D57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低波类工具重点看下行防御和风险预算适配性。</w:t>
      </w:r>
    </w:p>
    <w:p w14:paraId="14AAFD72" w14:textId="77777777" w:rsidR="000E1477" w:rsidRDefault="000E1477"/>
    <w:p w14:paraId="7EC9BA81" w14:textId="77777777" w:rsidR="000E1477" w:rsidRDefault="00000000">
      <w:pPr>
        <w:spacing w:before="120" w:after="120"/>
      </w:pPr>
      <w:r>
        <w:rPr>
          <w:rFonts w:ascii="Calibri" w:eastAsia="微软雅黑" w:hAnsi="Calibri"/>
          <w:b/>
          <w:sz w:val="28"/>
          <w:szCs w:val="28"/>
        </w:rPr>
        <w:t xml:space="preserve">5. </w:t>
      </w:r>
      <w:r>
        <w:rPr>
          <w:rFonts w:ascii="Calibri" w:eastAsia="微软雅黑" w:hAnsi="Calibri"/>
          <w:b/>
          <w:sz w:val="28"/>
          <w:szCs w:val="28"/>
        </w:rPr>
        <w:t>债券</w:t>
      </w:r>
      <w:r>
        <w:rPr>
          <w:rFonts w:ascii="Calibri" w:eastAsia="微软雅黑" w:hAnsi="Calibri"/>
          <w:b/>
          <w:sz w:val="28"/>
          <w:szCs w:val="28"/>
        </w:rPr>
        <w:t>ETF</w:t>
      </w:r>
      <w:r>
        <w:rPr>
          <w:rFonts w:ascii="Calibri" w:eastAsia="微软雅黑" w:hAnsi="Calibri"/>
          <w:b/>
          <w:sz w:val="28"/>
          <w:szCs w:val="28"/>
        </w:rPr>
        <w:t>模板</w:t>
      </w:r>
    </w:p>
    <w:p w14:paraId="1C04DAA1" w14:textId="77777777" w:rsidR="000E1477" w:rsidRDefault="000E1477"/>
    <w:p w14:paraId="01441E65" w14:textId="77777777" w:rsidR="000E1477" w:rsidRDefault="00000000">
      <w:pPr>
        <w:spacing w:before="100" w:after="100"/>
      </w:pPr>
      <w:r>
        <w:rPr>
          <w:rFonts w:ascii="Calibri" w:eastAsia="微软雅黑" w:hAnsi="Calibri"/>
          <w:b/>
          <w:sz w:val="24"/>
        </w:rPr>
        <w:t>建议章节</w:t>
      </w:r>
    </w:p>
    <w:p w14:paraId="2D4EBC3E"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利率环境与债市配置逻辑。</w:t>
      </w:r>
    </w:p>
    <w:p w14:paraId="40986F2A"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跟踪指数的券种定位与编制规则。</w:t>
      </w:r>
    </w:p>
    <w:p w14:paraId="32ED7F07"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久期、信用资质、行业分布与流动性分析。</w:t>
      </w:r>
    </w:p>
    <w:p w14:paraId="5C2F0CC1"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历史收益回撤、波动特征与风险收益比。</w:t>
      </w:r>
    </w:p>
    <w:p w14:paraId="14092075" w14:textId="77777777" w:rsidR="000E1477" w:rsidRDefault="00000000">
      <w:pPr>
        <w:spacing w:after="60" w:line="360" w:lineRule="auto"/>
      </w:pPr>
      <w:r>
        <w:rPr>
          <w:rFonts w:ascii="Calibri" w:eastAsia="微软雅黑" w:hAnsi="Calibri"/>
          <w:szCs w:val="22"/>
        </w:rPr>
        <w:lastRenderedPageBreak/>
        <w:t xml:space="preserve">5. </w:t>
      </w:r>
      <w:r>
        <w:rPr>
          <w:rFonts w:ascii="Calibri" w:eastAsia="微软雅黑" w:hAnsi="Calibri"/>
          <w:szCs w:val="22"/>
        </w:rPr>
        <w:t>与主动纯债基金、债券指数基金及同类债券</w:t>
      </w:r>
      <w:r>
        <w:rPr>
          <w:rFonts w:ascii="Calibri" w:eastAsia="微软雅黑" w:hAnsi="Calibri"/>
          <w:szCs w:val="22"/>
        </w:rPr>
        <w:t>ETF</w:t>
      </w:r>
      <w:r>
        <w:rPr>
          <w:rFonts w:ascii="Calibri" w:eastAsia="微软雅黑" w:hAnsi="Calibri"/>
          <w:szCs w:val="22"/>
        </w:rPr>
        <w:t>比较。</w:t>
      </w:r>
    </w:p>
    <w:p w14:paraId="3D2EE1E6"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产品流动性、做市、折溢价与申赎便利性。</w:t>
      </w:r>
    </w:p>
    <w:p w14:paraId="4A9D13A3"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使用情形与风险提示。</w:t>
      </w:r>
    </w:p>
    <w:p w14:paraId="07074150" w14:textId="77777777" w:rsidR="000E1477" w:rsidRDefault="000E1477"/>
    <w:p w14:paraId="3C615F86" w14:textId="77777777" w:rsidR="000E1477" w:rsidRDefault="00000000">
      <w:pPr>
        <w:spacing w:before="100" w:after="100"/>
      </w:pPr>
      <w:r>
        <w:rPr>
          <w:rFonts w:ascii="Calibri" w:eastAsia="微软雅黑" w:hAnsi="Calibri"/>
          <w:b/>
          <w:sz w:val="24"/>
        </w:rPr>
        <w:t>重点分析内容</w:t>
      </w:r>
    </w:p>
    <w:p w14:paraId="7E9A59C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先明确底层资产属于利率债、信用债、可转债、同业存单还是其他细分品类。</w:t>
      </w:r>
    </w:p>
    <w:p w14:paraId="027295F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分析产品收益主要来自票息收益、久期收益还是信用利差压缩。</w:t>
      </w:r>
    </w:p>
    <w:p w14:paraId="00F0C00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区分利率敏感性与信用风险来源，避免用同一逻辑解释所有债券</w:t>
      </w:r>
      <w:r>
        <w:rPr>
          <w:rFonts w:ascii="Calibri" w:eastAsia="微软雅黑" w:hAnsi="Calibri"/>
          <w:szCs w:val="22"/>
        </w:rPr>
        <w:t>ETF</w:t>
      </w:r>
      <w:r>
        <w:rPr>
          <w:rFonts w:ascii="Calibri" w:eastAsia="微软雅黑" w:hAnsi="Calibri"/>
          <w:szCs w:val="22"/>
        </w:rPr>
        <w:t>。</w:t>
      </w:r>
    </w:p>
    <w:p w14:paraId="2F03EAC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若存在做市机制，应重点说明其对流动性、成交和折溢价稳定性的改善。</w:t>
      </w:r>
    </w:p>
    <w:p w14:paraId="4453503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明确该产品可分别用于底仓持有、波段交易还是资金中转等不同用途。</w:t>
      </w:r>
    </w:p>
    <w:p w14:paraId="4B386EC9" w14:textId="77777777" w:rsidR="000E1477" w:rsidRDefault="000E1477"/>
    <w:p w14:paraId="4EFEE44B" w14:textId="77777777" w:rsidR="000E1477" w:rsidRDefault="00000000">
      <w:pPr>
        <w:spacing w:before="100" w:after="100"/>
      </w:pPr>
      <w:r>
        <w:rPr>
          <w:rFonts w:ascii="Calibri" w:eastAsia="微软雅黑" w:hAnsi="Calibri"/>
          <w:b/>
          <w:sz w:val="24"/>
        </w:rPr>
        <w:t>核心数据</w:t>
      </w:r>
    </w:p>
    <w:p w14:paraId="2388F1D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到期收益率、修正久期、凸性、信用评级分布、期限分布。</w:t>
      </w:r>
    </w:p>
    <w:p w14:paraId="57B2310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利差水平、行业分布、前十大持仓集中度、券种结构。</w:t>
      </w:r>
    </w:p>
    <w:p w14:paraId="6A0F994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历史年化收益、最大回撤、波动率、夏普比率。</w:t>
      </w:r>
    </w:p>
    <w:p w14:paraId="73793547"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规模、成交额、折溢价、做市商覆盖和申赎效率。</w:t>
      </w:r>
    </w:p>
    <w:p w14:paraId="0BFDCCDF" w14:textId="77777777" w:rsidR="000E1477" w:rsidRDefault="000E1477"/>
    <w:p w14:paraId="22A94607" w14:textId="77777777" w:rsidR="000E1477" w:rsidRDefault="00000000">
      <w:pPr>
        <w:spacing w:before="100" w:after="100"/>
      </w:pPr>
      <w:r>
        <w:rPr>
          <w:rFonts w:ascii="Calibri" w:eastAsia="微软雅黑" w:hAnsi="Calibri"/>
          <w:b/>
          <w:sz w:val="24"/>
        </w:rPr>
        <w:t>建议补充图表</w:t>
      </w:r>
    </w:p>
    <w:p w14:paraId="52F04B2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期限分布图和评级分布图。</w:t>
      </w:r>
    </w:p>
    <w:p w14:paraId="6780752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到期收益率与久期对比表。</w:t>
      </w:r>
    </w:p>
    <w:p w14:paraId="461C4744"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与主动纯债和债券指数基金收益回撤对比图。</w:t>
      </w:r>
    </w:p>
    <w:p w14:paraId="45E6E893" w14:textId="77777777" w:rsidR="000E1477" w:rsidRDefault="000E1477"/>
    <w:p w14:paraId="46752652" w14:textId="77777777" w:rsidR="000E1477" w:rsidRDefault="00000000">
      <w:pPr>
        <w:spacing w:before="100" w:after="100"/>
      </w:pPr>
      <w:r>
        <w:rPr>
          <w:rFonts w:ascii="Calibri" w:eastAsia="微软雅黑" w:hAnsi="Calibri"/>
          <w:b/>
          <w:sz w:val="24"/>
        </w:rPr>
        <w:t>分析侧重点</w:t>
      </w:r>
    </w:p>
    <w:p w14:paraId="174BE63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利率债类重点看政策利率、曲线变化、久期敏感性。</w:t>
      </w:r>
    </w:p>
    <w:p w14:paraId="55CC92D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信用债类重点看信用资质、行业分布、利差保护和流动性。</w:t>
      </w:r>
    </w:p>
    <w:p w14:paraId="242941E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同业存单类重点看短端利率、流动性管理价值和替代现金管理功能。</w:t>
      </w:r>
    </w:p>
    <w:p w14:paraId="5DD21CEC" w14:textId="77777777" w:rsidR="000E1477" w:rsidRDefault="000E1477"/>
    <w:p w14:paraId="60AC7A0D" w14:textId="77777777" w:rsidR="000E1477" w:rsidRDefault="00000000">
      <w:pPr>
        <w:spacing w:before="120" w:after="120"/>
      </w:pPr>
      <w:r>
        <w:rPr>
          <w:rFonts w:ascii="Calibri" w:eastAsia="微软雅黑" w:hAnsi="Calibri"/>
          <w:b/>
          <w:sz w:val="28"/>
          <w:szCs w:val="28"/>
        </w:rPr>
        <w:lastRenderedPageBreak/>
        <w:t xml:space="preserve">6. </w:t>
      </w:r>
      <w:r>
        <w:rPr>
          <w:rFonts w:ascii="Calibri" w:eastAsia="微软雅黑" w:hAnsi="Calibri"/>
          <w:b/>
          <w:sz w:val="28"/>
          <w:szCs w:val="28"/>
        </w:rPr>
        <w:t>商品</w:t>
      </w:r>
      <w:r>
        <w:rPr>
          <w:rFonts w:ascii="Calibri" w:eastAsia="微软雅黑" w:hAnsi="Calibri"/>
          <w:b/>
          <w:sz w:val="28"/>
          <w:szCs w:val="28"/>
        </w:rPr>
        <w:t>ETF</w:t>
      </w:r>
      <w:r>
        <w:rPr>
          <w:rFonts w:ascii="Calibri" w:eastAsia="微软雅黑" w:hAnsi="Calibri"/>
          <w:b/>
          <w:sz w:val="28"/>
          <w:szCs w:val="28"/>
        </w:rPr>
        <w:t>模板</w:t>
      </w:r>
    </w:p>
    <w:p w14:paraId="53D32947" w14:textId="77777777" w:rsidR="000E1477" w:rsidRDefault="000E1477"/>
    <w:p w14:paraId="66E3597D" w14:textId="77777777" w:rsidR="000E1477" w:rsidRDefault="00000000">
      <w:pPr>
        <w:spacing w:before="100" w:after="100"/>
      </w:pPr>
      <w:r>
        <w:rPr>
          <w:rFonts w:ascii="Calibri" w:eastAsia="微软雅黑" w:hAnsi="Calibri"/>
          <w:b/>
          <w:sz w:val="24"/>
        </w:rPr>
        <w:t>建议章节</w:t>
      </w:r>
    </w:p>
    <w:p w14:paraId="3AED024D"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商品价格驱动框架与当前市场主线。</w:t>
      </w:r>
    </w:p>
    <w:p w14:paraId="317E2169"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商品资产在组合中的功能与角色定位。</w:t>
      </w:r>
    </w:p>
    <w:p w14:paraId="4ED48007"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跟踪标的定价机制、指数规则与持有成本。</w:t>
      </w:r>
    </w:p>
    <w:p w14:paraId="49405FF0"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影响价格的核心变量与阶段判断。</w:t>
      </w:r>
    </w:p>
    <w:p w14:paraId="45AD5A65"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历史表现、波动特征及与股债资产相关性。</w:t>
      </w:r>
    </w:p>
    <w:p w14:paraId="2671B739"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产品特征、跟踪方式及境内外替代工具比较。</w:t>
      </w:r>
    </w:p>
    <w:p w14:paraId="738EDA13"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风险提示与使用情形。</w:t>
      </w:r>
    </w:p>
    <w:p w14:paraId="4A50F8F9" w14:textId="77777777" w:rsidR="000E1477" w:rsidRDefault="000E1477"/>
    <w:p w14:paraId="1F6C3BDB" w14:textId="77777777" w:rsidR="000E1477" w:rsidRDefault="00000000">
      <w:pPr>
        <w:spacing w:before="100" w:after="100"/>
      </w:pPr>
      <w:r>
        <w:rPr>
          <w:rFonts w:ascii="Calibri" w:eastAsia="微软雅黑" w:hAnsi="Calibri"/>
          <w:b/>
          <w:sz w:val="24"/>
        </w:rPr>
        <w:t>重点分析内容</w:t>
      </w:r>
    </w:p>
    <w:p w14:paraId="1640FA6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先区分贵金属、能源、有色、农产品等不同商品类别的驱动逻辑。</w:t>
      </w:r>
    </w:p>
    <w:p w14:paraId="55D323F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说明商品</w:t>
      </w:r>
      <w:r>
        <w:rPr>
          <w:rFonts w:ascii="Calibri" w:eastAsia="微软雅黑" w:hAnsi="Calibri"/>
          <w:szCs w:val="22"/>
        </w:rPr>
        <w:t>ETF</w:t>
      </w:r>
      <w:r>
        <w:rPr>
          <w:rFonts w:ascii="Calibri" w:eastAsia="微软雅黑" w:hAnsi="Calibri"/>
          <w:szCs w:val="22"/>
        </w:rPr>
        <w:t>更接近通胀对冲、避险工具、景气交易还是战术轮动工具。</w:t>
      </w:r>
    </w:p>
    <w:p w14:paraId="2016F5A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若底层采用期货或定价合约，应说明展期、基差、升贴水、持有成本等特殊影响。</w:t>
      </w:r>
    </w:p>
    <w:p w14:paraId="2BDAA90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对于贵金属类产品，应重点分析实际利率、美元、央行购金、避险需求等变量。</w:t>
      </w:r>
    </w:p>
    <w:p w14:paraId="7E92AB6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对于能源和工业品，应重点分析供给约束、需求景气、库存变化和地缘事件。</w:t>
      </w:r>
    </w:p>
    <w:p w14:paraId="5BC6B462" w14:textId="77777777" w:rsidR="000E1477" w:rsidRDefault="000E1477"/>
    <w:p w14:paraId="7102FA53" w14:textId="77777777" w:rsidR="000E1477" w:rsidRDefault="00000000">
      <w:pPr>
        <w:spacing w:before="100" w:after="100"/>
      </w:pPr>
      <w:r>
        <w:rPr>
          <w:rFonts w:ascii="Calibri" w:eastAsia="微软雅黑" w:hAnsi="Calibri"/>
          <w:b/>
          <w:sz w:val="24"/>
        </w:rPr>
        <w:t>核心数据</w:t>
      </w:r>
    </w:p>
    <w:p w14:paraId="1A4A437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现货价格、期货价格、基差、期限结构、库存、产量、需求数据。</w:t>
      </w:r>
    </w:p>
    <w:p w14:paraId="2E0B8CF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美元指数、实际利率、通胀预期、地缘变量、进出口数据。</w:t>
      </w:r>
    </w:p>
    <w:p w14:paraId="0C2AC96E"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规模、成交、跟踪偏离、折溢价和汇率影响。</w:t>
      </w:r>
    </w:p>
    <w:p w14:paraId="607E2633" w14:textId="77777777" w:rsidR="000E1477" w:rsidRDefault="000E1477"/>
    <w:p w14:paraId="628C56EE" w14:textId="77777777" w:rsidR="000E1477" w:rsidRDefault="00000000">
      <w:pPr>
        <w:spacing w:before="100" w:after="100"/>
      </w:pPr>
      <w:r>
        <w:rPr>
          <w:rFonts w:ascii="Calibri" w:eastAsia="微软雅黑" w:hAnsi="Calibri"/>
          <w:b/>
          <w:sz w:val="24"/>
        </w:rPr>
        <w:t>建议补充图表</w:t>
      </w:r>
    </w:p>
    <w:p w14:paraId="3CEFD19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商品价格驱动框架图。</w:t>
      </w:r>
    </w:p>
    <w:p w14:paraId="57483B43" w14:textId="77777777" w:rsidR="000E1477" w:rsidRDefault="00000000">
      <w:pPr>
        <w:spacing w:after="40"/>
        <w:ind w:left="420" w:hanging="210"/>
      </w:pPr>
      <w:r>
        <w:rPr>
          <w:rFonts w:ascii="Calibri" w:eastAsia="微软雅黑" w:hAnsi="Calibri"/>
          <w:szCs w:val="22"/>
        </w:rPr>
        <w:lastRenderedPageBreak/>
        <w:t xml:space="preserve">• </w:t>
      </w:r>
      <w:r>
        <w:rPr>
          <w:rFonts w:ascii="Calibri" w:eastAsia="微软雅黑" w:hAnsi="Calibri"/>
          <w:szCs w:val="22"/>
        </w:rPr>
        <w:t>基差和期限结构走势图。</w:t>
      </w:r>
    </w:p>
    <w:p w14:paraId="0916560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与股票、债券、汇率相关性对比表。</w:t>
      </w:r>
    </w:p>
    <w:p w14:paraId="38EF1878" w14:textId="77777777" w:rsidR="000E1477" w:rsidRDefault="000E1477"/>
    <w:p w14:paraId="478A89D6" w14:textId="77777777" w:rsidR="000E1477" w:rsidRDefault="00000000">
      <w:pPr>
        <w:spacing w:before="100" w:after="100"/>
      </w:pPr>
      <w:r>
        <w:rPr>
          <w:rFonts w:ascii="Calibri" w:eastAsia="微软雅黑" w:hAnsi="Calibri"/>
          <w:b/>
          <w:sz w:val="24"/>
        </w:rPr>
        <w:t>分析侧重点</w:t>
      </w:r>
    </w:p>
    <w:p w14:paraId="28D6B33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黄金类产品重点看避险属性、美元周期和长期表现特征。</w:t>
      </w:r>
    </w:p>
    <w:p w14:paraId="4FA5B14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油气类产品重点看供需格局、地缘冲击和能源价格敏感性。</w:t>
      </w:r>
    </w:p>
    <w:p w14:paraId="228EAD0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有色类产品重点看全球制造业周期、新能源需求和库存拐点。</w:t>
      </w:r>
    </w:p>
    <w:p w14:paraId="56910D9B" w14:textId="77777777" w:rsidR="000E1477" w:rsidRDefault="000E1477"/>
    <w:p w14:paraId="15C3DD43" w14:textId="77777777" w:rsidR="000E1477" w:rsidRDefault="00000000">
      <w:pPr>
        <w:spacing w:before="120" w:after="120"/>
      </w:pPr>
      <w:r>
        <w:rPr>
          <w:rFonts w:ascii="Calibri" w:eastAsia="微软雅黑" w:hAnsi="Calibri"/>
          <w:b/>
          <w:sz w:val="28"/>
          <w:szCs w:val="28"/>
        </w:rPr>
        <w:t xml:space="preserve">7. </w:t>
      </w:r>
      <w:r>
        <w:rPr>
          <w:rFonts w:ascii="Calibri" w:eastAsia="微软雅黑" w:hAnsi="Calibri"/>
          <w:b/>
          <w:sz w:val="28"/>
          <w:szCs w:val="28"/>
        </w:rPr>
        <w:t>跨境</w:t>
      </w:r>
      <w:r>
        <w:rPr>
          <w:rFonts w:ascii="Calibri" w:eastAsia="微软雅黑" w:hAnsi="Calibri"/>
          <w:b/>
          <w:sz w:val="28"/>
          <w:szCs w:val="28"/>
        </w:rPr>
        <w:t>ETF</w:t>
      </w:r>
      <w:r>
        <w:rPr>
          <w:rFonts w:ascii="Calibri" w:eastAsia="微软雅黑" w:hAnsi="Calibri"/>
          <w:b/>
          <w:sz w:val="28"/>
          <w:szCs w:val="28"/>
        </w:rPr>
        <w:t>模板</w:t>
      </w:r>
    </w:p>
    <w:p w14:paraId="160C00AD" w14:textId="77777777" w:rsidR="000E1477" w:rsidRDefault="000E1477"/>
    <w:p w14:paraId="65829C33" w14:textId="77777777" w:rsidR="000E1477" w:rsidRDefault="00000000">
      <w:pPr>
        <w:spacing w:before="100" w:after="100"/>
      </w:pPr>
      <w:r>
        <w:rPr>
          <w:rFonts w:ascii="Calibri" w:eastAsia="微软雅黑" w:hAnsi="Calibri"/>
          <w:b/>
          <w:sz w:val="24"/>
        </w:rPr>
        <w:t>建议章节</w:t>
      </w:r>
    </w:p>
    <w:p w14:paraId="5EAF48F0"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海外或港股市场的投资主线判断。</w:t>
      </w:r>
    </w:p>
    <w:p w14:paraId="058DF50F"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所跟踪市场的宏观、政策与流动性环境。</w:t>
      </w:r>
    </w:p>
    <w:p w14:paraId="31FEFA12"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指数编制规则与跨境市场覆盖范围。</w:t>
      </w:r>
    </w:p>
    <w:p w14:paraId="1DCC522B"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成分行业结构、龙头资产与主题暴露分析。</w:t>
      </w:r>
    </w:p>
    <w:p w14:paraId="4278F5FE"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估值、盈利预期、汇率影响与风险溢价分析。</w:t>
      </w:r>
    </w:p>
    <w:p w14:paraId="3581D7DB" w14:textId="77777777" w:rsidR="000E1477" w:rsidRDefault="00000000">
      <w:pPr>
        <w:spacing w:after="60" w:line="360" w:lineRule="auto"/>
      </w:pPr>
      <w:r>
        <w:rPr>
          <w:rFonts w:ascii="Calibri" w:eastAsia="微软雅黑" w:hAnsi="Calibri"/>
          <w:szCs w:val="22"/>
        </w:rPr>
        <w:t>6. ETF</w:t>
      </w:r>
      <w:r>
        <w:rPr>
          <w:rFonts w:ascii="Calibri" w:eastAsia="微软雅黑" w:hAnsi="Calibri"/>
          <w:szCs w:val="22"/>
        </w:rPr>
        <w:t>产品的跨境交易特征、跟踪效果与申赎机制。</w:t>
      </w:r>
    </w:p>
    <w:p w14:paraId="5142CA71" w14:textId="77777777"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使用情形与风险提示。</w:t>
      </w:r>
    </w:p>
    <w:p w14:paraId="0A5D41BF" w14:textId="77777777" w:rsidR="000E1477" w:rsidRDefault="000E1477"/>
    <w:p w14:paraId="36AFF70E" w14:textId="77777777" w:rsidR="000E1477" w:rsidRDefault="00000000">
      <w:pPr>
        <w:spacing w:before="100" w:after="100"/>
      </w:pPr>
      <w:r>
        <w:rPr>
          <w:rFonts w:ascii="Calibri" w:eastAsia="微软雅黑" w:hAnsi="Calibri"/>
          <w:b/>
          <w:sz w:val="24"/>
        </w:rPr>
        <w:t>重点分析内容</w:t>
      </w:r>
    </w:p>
    <w:p w14:paraId="17A5B68B"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先区分底层资产是港股、美股、日股、海外债券还是海外商品。</w:t>
      </w:r>
    </w:p>
    <w:p w14:paraId="4B58BFE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将跨境收益拆分为资产本身收益和汇率收益，避免只看单一净值表现。</w:t>
      </w:r>
    </w:p>
    <w:p w14:paraId="26C6A662"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说明引入这一海外敞口的研究目的，是为了分散风险、观察稀缺资产，还是跟踪海外成长主线。</w:t>
      </w:r>
    </w:p>
    <w:p w14:paraId="2DE9D08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对港股主题</w:t>
      </w:r>
      <w:r>
        <w:rPr>
          <w:rFonts w:ascii="Calibri" w:eastAsia="微软雅黑" w:hAnsi="Calibri"/>
          <w:szCs w:val="22"/>
        </w:rPr>
        <w:t>ETF</w:t>
      </w:r>
      <w:r>
        <w:rPr>
          <w:rFonts w:ascii="Calibri" w:eastAsia="微软雅黑" w:hAnsi="Calibri"/>
          <w:szCs w:val="22"/>
        </w:rPr>
        <w:t>，应补充南向资金、港股制度、互联网平台或创新药等核心赛道的特殊性分析。</w:t>
      </w:r>
    </w:p>
    <w:p w14:paraId="7DF2679E" w14:textId="77777777" w:rsidR="000E1477" w:rsidRDefault="00000000">
      <w:pPr>
        <w:spacing w:after="40"/>
        <w:ind w:left="420" w:hanging="210"/>
      </w:pPr>
      <w:r>
        <w:rPr>
          <w:rFonts w:ascii="Calibri" w:eastAsia="微软雅黑" w:hAnsi="Calibri"/>
          <w:szCs w:val="22"/>
        </w:rPr>
        <w:lastRenderedPageBreak/>
        <w:t xml:space="preserve">• </w:t>
      </w:r>
      <w:r>
        <w:rPr>
          <w:rFonts w:ascii="Calibri" w:eastAsia="微软雅黑" w:hAnsi="Calibri"/>
          <w:szCs w:val="22"/>
        </w:rPr>
        <w:t>对海外科技类产品，应说明估值、盈利预期和流动性环境三者的匹配关系。</w:t>
      </w:r>
    </w:p>
    <w:p w14:paraId="577E13A8" w14:textId="77777777" w:rsidR="000E1477" w:rsidRDefault="000E1477"/>
    <w:p w14:paraId="1AC4E63B" w14:textId="77777777" w:rsidR="000E1477" w:rsidRDefault="00000000">
      <w:pPr>
        <w:spacing w:before="100" w:after="100"/>
      </w:pPr>
      <w:r>
        <w:rPr>
          <w:rFonts w:ascii="Calibri" w:eastAsia="微软雅黑" w:hAnsi="Calibri"/>
          <w:b/>
          <w:sz w:val="24"/>
        </w:rPr>
        <w:t>核心数据</w:t>
      </w:r>
    </w:p>
    <w:p w14:paraId="0EC122E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海外市场估值、盈利预期、流动性指标、风险溢价。</w:t>
      </w:r>
    </w:p>
    <w:p w14:paraId="2263C31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汇率、利率、资金流向、政策变化、海外映射变量。</w:t>
      </w:r>
    </w:p>
    <w:p w14:paraId="68412445"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行业分布、前十大权重股、龙头公司基本面和收入结构。</w:t>
      </w:r>
    </w:p>
    <w:p w14:paraId="26196B1F" w14:textId="77777777" w:rsidR="000E1477" w:rsidRDefault="00000000">
      <w:pPr>
        <w:spacing w:after="40"/>
        <w:ind w:left="420" w:hanging="210"/>
      </w:pPr>
      <w:r>
        <w:rPr>
          <w:rFonts w:ascii="Calibri" w:eastAsia="微软雅黑" w:hAnsi="Calibri"/>
          <w:szCs w:val="22"/>
        </w:rPr>
        <w:t>• ETF</w:t>
      </w:r>
      <w:r>
        <w:rPr>
          <w:rFonts w:ascii="Calibri" w:eastAsia="微软雅黑" w:hAnsi="Calibri"/>
          <w:szCs w:val="22"/>
        </w:rPr>
        <w:t>跟踪误差、跨境机制约束、流动性和折溢价表现。</w:t>
      </w:r>
    </w:p>
    <w:p w14:paraId="382F47FF" w14:textId="77777777" w:rsidR="000E1477" w:rsidRDefault="000E1477"/>
    <w:p w14:paraId="08E9E346" w14:textId="77777777" w:rsidR="000E1477" w:rsidRDefault="00000000">
      <w:pPr>
        <w:spacing w:before="100" w:after="100"/>
      </w:pPr>
      <w:r>
        <w:rPr>
          <w:rFonts w:ascii="Calibri" w:eastAsia="微软雅黑" w:hAnsi="Calibri"/>
          <w:b/>
          <w:sz w:val="24"/>
        </w:rPr>
        <w:t>建议补充图表</w:t>
      </w:r>
    </w:p>
    <w:p w14:paraId="0FC09B8C"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跨境收益拆分图。</w:t>
      </w:r>
    </w:p>
    <w:p w14:paraId="6B1BF64A"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海内外同类资产估值对比图。</w:t>
      </w:r>
    </w:p>
    <w:p w14:paraId="2AC46A13"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汇率变化与净值表现对照图。</w:t>
      </w:r>
    </w:p>
    <w:p w14:paraId="4C2611AD" w14:textId="77777777" w:rsidR="000E1477" w:rsidRDefault="000E1477"/>
    <w:p w14:paraId="6B80EB38" w14:textId="77777777" w:rsidR="000E1477" w:rsidRDefault="00000000">
      <w:pPr>
        <w:spacing w:before="100" w:after="100"/>
      </w:pPr>
      <w:r>
        <w:rPr>
          <w:rFonts w:ascii="Calibri" w:eastAsia="微软雅黑" w:hAnsi="Calibri"/>
          <w:b/>
          <w:sz w:val="24"/>
        </w:rPr>
        <w:t>分析侧重点</w:t>
      </w:r>
    </w:p>
    <w:p w14:paraId="4BCCA73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港股科技类重点看估值调整、平台经济政策和成长资产波动特征。</w:t>
      </w:r>
    </w:p>
    <w:p w14:paraId="0538147F"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港股医疗类重点看创新能力、出海逻辑、行业景气和稀缺资产属性。</w:t>
      </w:r>
    </w:p>
    <w:p w14:paraId="5376F6FF"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海外宽基类重点看资产分散功能和与</w:t>
      </w:r>
      <w:r>
        <w:rPr>
          <w:rFonts w:ascii="Calibri" w:eastAsia="微软雅黑" w:hAnsi="Calibri"/>
          <w:szCs w:val="22"/>
        </w:rPr>
        <w:t>A</w:t>
      </w:r>
      <w:r>
        <w:rPr>
          <w:rFonts w:ascii="Calibri" w:eastAsia="微软雅黑" w:hAnsi="Calibri"/>
          <w:szCs w:val="22"/>
        </w:rPr>
        <w:t>股的相关性补充。</w:t>
      </w:r>
    </w:p>
    <w:p w14:paraId="15EE6A95" w14:textId="77777777" w:rsidR="000E1477" w:rsidRDefault="000E1477"/>
    <w:p w14:paraId="767B96B7" w14:textId="77777777" w:rsidR="000E1477" w:rsidRDefault="00000000">
      <w:pPr>
        <w:spacing w:before="120" w:after="120"/>
      </w:pPr>
      <w:r>
        <w:rPr>
          <w:rFonts w:ascii="Calibri" w:eastAsia="微软雅黑" w:hAnsi="Calibri"/>
          <w:b/>
          <w:sz w:val="28"/>
          <w:szCs w:val="28"/>
        </w:rPr>
        <w:t xml:space="preserve">8. </w:t>
      </w:r>
      <w:r>
        <w:rPr>
          <w:rFonts w:ascii="Calibri" w:eastAsia="微软雅黑" w:hAnsi="Calibri"/>
          <w:b/>
          <w:sz w:val="28"/>
          <w:szCs w:val="28"/>
        </w:rPr>
        <w:t>货币</w:t>
      </w:r>
      <w:r>
        <w:rPr>
          <w:rFonts w:ascii="Calibri" w:eastAsia="微软雅黑" w:hAnsi="Calibri"/>
          <w:b/>
          <w:sz w:val="28"/>
          <w:szCs w:val="28"/>
        </w:rPr>
        <w:t>ETF</w:t>
      </w:r>
      <w:r>
        <w:rPr>
          <w:rFonts w:ascii="Calibri" w:eastAsia="微软雅黑" w:hAnsi="Calibri"/>
          <w:b/>
          <w:sz w:val="28"/>
          <w:szCs w:val="28"/>
        </w:rPr>
        <w:t>模板</w:t>
      </w:r>
    </w:p>
    <w:p w14:paraId="7E51DA58" w14:textId="77777777" w:rsidR="000E1477" w:rsidRDefault="000E1477"/>
    <w:p w14:paraId="25326984" w14:textId="77777777" w:rsidR="000E1477" w:rsidRDefault="00000000">
      <w:pPr>
        <w:spacing w:before="100" w:after="100"/>
      </w:pPr>
      <w:r>
        <w:rPr>
          <w:rFonts w:ascii="Calibri" w:eastAsia="微软雅黑" w:hAnsi="Calibri"/>
          <w:b/>
          <w:sz w:val="24"/>
        </w:rPr>
        <w:t>建议章节</w:t>
      </w:r>
    </w:p>
    <w:p w14:paraId="1A06B70F"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现金管理需求与短端利率环境。</w:t>
      </w:r>
    </w:p>
    <w:p w14:paraId="0EA98694"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底层资产构成与收益来源。</w:t>
      </w:r>
    </w:p>
    <w:p w14:paraId="189CA439"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流动性、安全性与收益稳定性分析。</w:t>
      </w:r>
    </w:p>
    <w:p w14:paraId="4C54EAFC"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与场外货币基金、短债基金及现金管理工具比较。</w:t>
      </w:r>
    </w:p>
    <w:p w14:paraId="70C79BF0" w14:textId="77777777" w:rsidR="000E1477" w:rsidRDefault="00000000">
      <w:pPr>
        <w:spacing w:after="60" w:line="360" w:lineRule="auto"/>
      </w:pPr>
      <w:r>
        <w:rPr>
          <w:rFonts w:ascii="Calibri" w:eastAsia="微软雅黑" w:hAnsi="Calibri"/>
          <w:szCs w:val="22"/>
        </w:rPr>
        <w:t>5. ETF</w:t>
      </w:r>
      <w:r>
        <w:rPr>
          <w:rFonts w:ascii="Calibri" w:eastAsia="微软雅黑" w:hAnsi="Calibri"/>
          <w:szCs w:val="22"/>
        </w:rPr>
        <w:t>场内交易便利性、折溢价与资金使用效率。</w:t>
      </w:r>
    </w:p>
    <w:p w14:paraId="34B63096" w14:textId="77777777" w:rsidR="000E1477" w:rsidRDefault="00000000">
      <w:pPr>
        <w:spacing w:after="60" w:line="360" w:lineRule="auto"/>
      </w:pPr>
      <w:r>
        <w:rPr>
          <w:rFonts w:ascii="Calibri" w:eastAsia="微软雅黑" w:hAnsi="Calibri"/>
          <w:szCs w:val="22"/>
        </w:rPr>
        <w:lastRenderedPageBreak/>
        <w:t xml:space="preserve">6. </w:t>
      </w:r>
      <w:r>
        <w:rPr>
          <w:rFonts w:ascii="Calibri" w:eastAsia="微软雅黑" w:hAnsi="Calibri"/>
          <w:szCs w:val="22"/>
        </w:rPr>
        <w:t>使用情形与风险提示。</w:t>
      </w:r>
    </w:p>
    <w:p w14:paraId="4C72C1A2" w14:textId="77777777" w:rsidR="000E1477" w:rsidRDefault="000E1477"/>
    <w:p w14:paraId="697B4734" w14:textId="77777777" w:rsidR="000E1477" w:rsidRDefault="00000000">
      <w:pPr>
        <w:spacing w:before="100" w:after="100"/>
      </w:pPr>
      <w:r>
        <w:rPr>
          <w:rFonts w:ascii="Calibri" w:eastAsia="微软雅黑" w:hAnsi="Calibri"/>
          <w:b/>
          <w:sz w:val="24"/>
        </w:rPr>
        <w:t>重点分析内容</w:t>
      </w:r>
    </w:p>
    <w:p w14:paraId="3967908D"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这类产品的核心不是进攻性，而是现金管理效率、流动性和持有便利性。</w:t>
      </w:r>
    </w:p>
    <w:p w14:paraId="552131F6"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重点解释其底层资产安全性、收益波动特征和场内交易特征。</w:t>
      </w:r>
    </w:p>
    <w:p w14:paraId="758681CE"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对比场外货币基金、逆回购、短债基金等工具，说明其在效率、收益和操作便利性上的差别。</w:t>
      </w:r>
    </w:p>
    <w:p w14:paraId="442EBB10"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强调节假日、月末、季末、年末等时间点的资金安排功能。</w:t>
      </w:r>
    </w:p>
    <w:p w14:paraId="4FCB3F23" w14:textId="77777777" w:rsidR="000E1477" w:rsidRDefault="000E1477"/>
    <w:p w14:paraId="4341F1E3" w14:textId="77777777" w:rsidR="000E1477" w:rsidRDefault="00000000">
      <w:pPr>
        <w:spacing w:before="100" w:after="100"/>
      </w:pPr>
      <w:r>
        <w:rPr>
          <w:rFonts w:ascii="Calibri" w:eastAsia="微软雅黑" w:hAnsi="Calibri"/>
          <w:b/>
          <w:sz w:val="24"/>
        </w:rPr>
        <w:t>核心数据</w:t>
      </w:r>
    </w:p>
    <w:p w14:paraId="53E978F1"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七日年化、万份收益、组合久期、杠杆、回购资产占比。</w:t>
      </w:r>
    </w:p>
    <w:p w14:paraId="3ED1897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日均成交额、折溢价、申赎效率、价格稳定性。</w:t>
      </w:r>
    </w:p>
    <w:p w14:paraId="0793AB38"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与场外货基、短债产品、逆回购收益和流动性对比。</w:t>
      </w:r>
    </w:p>
    <w:p w14:paraId="471C4907" w14:textId="77777777" w:rsidR="000E1477" w:rsidRDefault="000E1477"/>
    <w:p w14:paraId="232A6889" w14:textId="77777777" w:rsidR="000E1477" w:rsidRDefault="00000000">
      <w:pPr>
        <w:spacing w:before="100" w:after="100"/>
      </w:pPr>
      <w:r>
        <w:rPr>
          <w:rFonts w:ascii="Calibri" w:eastAsia="微软雅黑" w:hAnsi="Calibri"/>
          <w:b/>
          <w:sz w:val="24"/>
        </w:rPr>
        <w:t>建议补充图表</w:t>
      </w:r>
    </w:p>
    <w:p w14:paraId="2CF92530"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现金管理工具对比表。</w:t>
      </w:r>
    </w:p>
    <w:p w14:paraId="6D147EF9"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短端利率与货币</w:t>
      </w:r>
      <w:r>
        <w:rPr>
          <w:rFonts w:ascii="Calibri" w:eastAsia="微软雅黑" w:hAnsi="Calibri"/>
          <w:szCs w:val="22"/>
        </w:rPr>
        <w:t>ETF</w:t>
      </w:r>
      <w:r>
        <w:rPr>
          <w:rFonts w:ascii="Calibri" w:eastAsia="微软雅黑" w:hAnsi="Calibri"/>
          <w:szCs w:val="22"/>
        </w:rPr>
        <w:t>收益对照图。</w:t>
      </w:r>
    </w:p>
    <w:p w14:paraId="4657FCCF" w14:textId="77777777" w:rsidR="000E1477" w:rsidRDefault="00000000">
      <w:pPr>
        <w:spacing w:after="40"/>
        <w:ind w:left="420" w:hanging="210"/>
      </w:pPr>
      <w:r>
        <w:rPr>
          <w:rFonts w:ascii="Calibri" w:eastAsia="微软雅黑" w:hAnsi="Calibri"/>
          <w:szCs w:val="22"/>
        </w:rPr>
        <w:t xml:space="preserve">• </w:t>
      </w:r>
      <w:r>
        <w:rPr>
          <w:rFonts w:ascii="Calibri" w:eastAsia="微软雅黑" w:hAnsi="Calibri"/>
          <w:szCs w:val="22"/>
        </w:rPr>
        <w:t>节假日前后成交与折溢价变化图。</w:t>
      </w:r>
    </w:p>
    <w:p w14:paraId="388A6FD6" w14:textId="77777777" w:rsidR="000E1477" w:rsidRDefault="000E1477"/>
    <w:p w14:paraId="31F12807" w14:textId="77777777" w:rsidR="000E1477" w:rsidRDefault="00000000">
      <w:pPr>
        <w:spacing w:before="120" w:after="120"/>
      </w:pPr>
      <w:r>
        <w:rPr>
          <w:rFonts w:ascii="Calibri" w:eastAsia="微软雅黑" w:hAnsi="Calibri"/>
          <w:b/>
          <w:sz w:val="28"/>
          <w:szCs w:val="28"/>
        </w:rPr>
        <w:t>三、统一数据清单</w:t>
      </w:r>
    </w:p>
    <w:p w14:paraId="0B9972BB" w14:textId="77777777" w:rsidR="000E1477" w:rsidRDefault="000E1477"/>
    <w:p w14:paraId="18D32FC6" w14:textId="77777777" w:rsidR="000E1477" w:rsidRDefault="00000000">
      <w:pPr>
        <w:spacing w:after="60" w:line="360" w:lineRule="auto"/>
      </w:pPr>
      <w:r>
        <w:rPr>
          <w:rFonts w:ascii="Calibri" w:eastAsia="微软雅黑" w:hAnsi="Calibri"/>
          <w:szCs w:val="22"/>
        </w:rPr>
        <w:t>为便于后续不同类型</w:t>
      </w:r>
      <w:r>
        <w:rPr>
          <w:rFonts w:ascii="Calibri" w:eastAsia="微软雅黑" w:hAnsi="Calibri"/>
          <w:szCs w:val="22"/>
        </w:rPr>
        <w:t>ETF</w:t>
      </w:r>
      <w:r>
        <w:rPr>
          <w:rFonts w:ascii="Calibri" w:eastAsia="微软雅黑" w:hAnsi="Calibri"/>
          <w:szCs w:val="22"/>
        </w:rPr>
        <w:t>报告共用底稿，建议统一沉淀以下数据层，并尽量保持口径一致。</w:t>
      </w:r>
    </w:p>
    <w:p w14:paraId="78DC8F79" w14:textId="77777777" w:rsidR="000E1477" w:rsidRDefault="000E1477"/>
    <w:p w14:paraId="40791F46" w14:textId="77777777" w:rsidR="000E1477" w:rsidRDefault="00000000">
      <w:pPr>
        <w:spacing w:after="60" w:line="360" w:lineRule="auto"/>
      </w:pPr>
      <w:r>
        <w:rPr>
          <w:rFonts w:ascii="Calibri" w:eastAsia="微软雅黑" w:hAnsi="Calibri"/>
          <w:szCs w:val="22"/>
        </w:rPr>
        <w:t>1. ETF</w:t>
      </w:r>
      <w:r>
        <w:rPr>
          <w:rFonts w:ascii="Calibri" w:eastAsia="微软雅黑" w:hAnsi="Calibri"/>
          <w:szCs w:val="22"/>
        </w:rPr>
        <w:t>产品层：代码、简称、成立日、最新规模、份额、管理人、基金经理、费率、日均成交额、换手率、折溢价、跟踪误差。</w:t>
      </w:r>
    </w:p>
    <w:p w14:paraId="01B1A643"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指数层：指数代码、发布日期、编制规则、调样频率、成分数量、行业分布、市值分布、前</w:t>
      </w:r>
      <w:r>
        <w:rPr>
          <w:rFonts w:ascii="Calibri" w:eastAsia="微软雅黑" w:hAnsi="Calibri"/>
          <w:szCs w:val="22"/>
        </w:rPr>
        <w:lastRenderedPageBreak/>
        <w:t>十大权重、集中度。</w:t>
      </w:r>
    </w:p>
    <w:p w14:paraId="1744060D"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行情层：近</w:t>
      </w:r>
      <w:r>
        <w:rPr>
          <w:rFonts w:ascii="Calibri" w:eastAsia="微软雅黑" w:hAnsi="Calibri"/>
          <w:szCs w:val="22"/>
        </w:rPr>
        <w:t>1</w:t>
      </w:r>
      <w:r>
        <w:rPr>
          <w:rFonts w:ascii="Calibri" w:eastAsia="微软雅黑" w:hAnsi="Calibri"/>
          <w:szCs w:val="22"/>
        </w:rPr>
        <w:t>月、</w:t>
      </w:r>
      <w:r>
        <w:rPr>
          <w:rFonts w:ascii="Calibri" w:eastAsia="微软雅黑" w:hAnsi="Calibri"/>
          <w:szCs w:val="22"/>
        </w:rPr>
        <w:t>3</w:t>
      </w:r>
      <w:r>
        <w:rPr>
          <w:rFonts w:ascii="Calibri" w:eastAsia="微软雅黑" w:hAnsi="Calibri"/>
          <w:szCs w:val="22"/>
        </w:rPr>
        <w:t>月、</w:t>
      </w:r>
      <w:r>
        <w:rPr>
          <w:rFonts w:ascii="Calibri" w:eastAsia="微软雅黑" w:hAnsi="Calibri"/>
          <w:szCs w:val="22"/>
        </w:rPr>
        <w:t>6</w:t>
      </w:r>
      <w:r>
        <w:rPr>
          <w:rFonts w:ascii="Calibri" w:eastAsia="微软雅黑" w:hAnsi="Calibri"/>
          <w:szCs w:val="22"/>
        </w:rPr>
        <w:t>月、</w:t>
      </w:r>
      <w:r>
        <w:rPr>
          <w:rFonts w:ascii="Calibri" w:eastAsia="微软雅黑" w:hAnsi="Calibri"/>
          <w:szCs w:val="22"/>
        </w:rPr>
        <w:t>1</w:t>
      </w:r>
      <w:r>
        <w:rPr>
          <w:rFonts w:ascii="Calibri" w:eastAsia="微软雅黑" w:hAnsi="Calibri"/>
          <w:szCs w:val="22"/>
        </w:rPr>
        <w:t>年、</w:t>
      </w:r>
      <w:r>
        <w:rPr>
          <w:rFonts w:ascii="Calibri" w:eastAsia="微软雅黑" w:hAnsi="Calibri"/>
          <w:szCs w:val="22"/>
        </w:rPr>
        <w:t>3</w:t>
      </w:r>
      <w:r>
        <w:rPr>
          <w:rFonts w:ascii="Calibri" w:eastAsia="微软雅黑" w:hAnsi="Calibri"/>
          <w:szCs w:val="22"/>
        </w:rPr>
        <w:t>年收益，年化波动率，最大回撤，夏普比率，区间超额收益。</w:t>
      </w:r>
    </w:p>
    <w:p w14:paraId="27A8CC8F"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估值层：</w:t>
      </w:r>
      <w:r>
        <w:rPr>
          <w:rFonts w:ascii="Calibri" w:eastAsia="微软雅黑" w:hAnsi="Calibri"/>
          <w:szCs w:val="22"/>
        </w:rPr>
        <w:t>PE</w:t>
      </w:r>
      <w:r>
        <w:rPr>
          <w:rFonts w:ascii="Calibri" w:eastAsia="微软雅黑" w:hAnsi="Calibri"/>
          <w:szCs w:val="22"/>
        </w:rPr>
        <w:t>、</w:t>
      </w:r>
      <w:r>
        <w:rPr>
          <w:rFonts w:ascii="Calibri" w:eastAsia="微软雅黑" w:hAnsi="Calibri"/>
          <w:szCs w:val="22"/>
        </w:rPr>
        <w:t>PB</w:t>
      </w:r>
      <w:r>
        <w:rPr>
          <w:rFonts w:ascii="Calibri" w:eastAsia="微软雅黑" w:hAnsi="Calibri"/>
          <w:szCs w:val="22"/>
        </w:rPr>
        <w:t>、股息率、</w:t>
      </w:r>
      <w:r>
        <w:rPr>
          <w:rFonts w:ascii="Calibri" w:eastAsia="微软雅黑" w:hAnsi="Calibri"/>
          <w:szCs w:val="22"/>
        </w:rPr>
        <w:t>ROE</w:t>
      </w:r>
      <w:r>
        <w:rPr>
          <w:rFonts w:ascii="Calibri" w:eastAsia="微软雅黑" w:hAnsi="Calibri"/>
          <w:szCs w:val="22"/>
        </w:rPr>
        <w:t>、自由现金流率、到期收益率、信用利差、历史分位。</w:t>
      </w:r>
    </w:p>
    <w:p w14:paraId="11BC5E66"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资金层：</w:t>
      </w:r>
      <w:r>
        <w:rPr>
          <w:rFonts w:ascii="Calibri" w:eastAsia="微软雅黑" w:hAnsi="Calibri"/>
          <w:szCs w:val="22"/>
        </w:rPr>
        <w:t>ETF</w:t>
      </w:r>
      <w:r>
        <w:rPr>
          <w:rFonts w:ascii="Calibri" w:eastAsia="微软雅黑" w:hAnsi="Calibri"/>
          <w:szCs w:val="22"/>
        </w:rPr>
        <w:t>净申购赎回、份额变化、资金净流入、成交活跃度、机构参与度。</w:t>
      </w:r>
    </w:p>
    <w:p w14:paraId="027E175F" w14:textId="77777777" w:rsidR="000E1477" w:rsidRDefault="00000000">
      <w:pPr>
        <w:spacing w:after="60" w:line="360" w:lineRule="auto"/>
      </w:pPr>
      <w:r>
        <w:rPr>
          <w:rFonts w:ascii="Calibri" w:eastAsia="微软雅黑" w:hAnsi="Calibri"/>
          <w:szCs w:val="22"/>
        </w:rPr>
        <w:t xml:space="preserve">6. </w:t>
      </w:r>
      <w:r>
        <w:rPr>
          <w:rFonts w:ascii="Calibri" w:eastAsia="微软雅黑" w:hAnsi="Calibri"/>
          <w:szCs w:val="22"/>
        </w:rPr>
        <w:t>宏观与产业层：利率、通胀、汇率、库存、商品价格、行业景气、政策文本、海外映射变量。</w:t>
      </w:r>
    </w:p>
    <w:p w14:paraId="3A534059" w14:textId="77777777" w:rsidR="000E1477" w:rsidRDefault="000E1477"/>
    <w:p w14:paraId="26D86FF3" w14:textId="77777777" w:rsidR="000E1477" w:rsidRDefault="00000000">
      <w:pPr>
        <w:spacing w:before="120" w:after="120"/>
      </w:pPr>
      <w:r>
        <w:rPr>
          <w:rFonts w:ascii="Calibri" w:eastAsia="微软雅黑" w:hAnsi="Calibri"/>
          <w:b/>
          <w:sz w:val="28"/>
          <w:szCs w:val="28"/>
        </w:rPr>
        <w:t>四、统一输出规范</w:t>
      </w:r>
    </w:p>
    <w:p w14:paraId="584B910C" w14:textId="77777777" w:rsidR="000E1477" w:rsidRDefault="000E1477"/>
    <w:p w14:paraId="6608560B" w14:textId="77777777" w:rsidR="000E1477" w:rsidRDefault="00000000">
      <w:pPr>
        <w:spacing w:after="60" w:line="360" w:lineRule="auto"/>
      </w:pPr>
      <w:r>
        <w:rPr>
          <w:rFonts w:ascii="Calibri" w:eastAsia="微软雅黑" w:hAnsi="Calibri"/>
          <w:szCs w:val="22"/>
        </w:rPr>
        <w:t>建议最终交付的</w:t>
      </w:r>
      <w:r>
        <w:rPr>
          <w:rFonts w:ascii="Calibri" w:eastAsia="微软雅黑" w:hAnsi="Calibri"/>
          <w:szCs w:val="22"/>
        </w:rPr>
        <w:t>ETF</w:t>
      </w:r>
      <w:r>
        <w:rPr>
          <w:rFonts w:ascii="Calibri" w:eastAsia="微软雅黑" w:hAnsi="Calibri"/>
          <w:szCs w:val="22"/>
        </w:rPr>
        <w:t>报告在写作风格和版式表达上保持统一，以提升可读性和可复用性。</w:t>
      </w:r>
    </w:p>
    <w:p w14:paraId="68D9D848" w14:textId="77777777" w:rsidR="000E1477" w:rsidRDefault="000E1477"/>
    <w:p w14:paraId="084B3EC4" w14:textId="77777777" w:rsidR="000E1477" w:rsidRDefault="00000000">
      <w:pPr>
        <w:spacing w:after="60" w:line="360" w:lineRule="auto"/>
      </w:pPr>
      <w:r>
        <w:rPr>
          <w:rFonts w:ascii="Calibri" w:eastAsia="微软雅黑" w:hAnsi="Calibri"/>
          <w:szCs w:val="22"/>
        </w:rPr>
        <w:t xml:space="preserve">1. </w:t>
      </w:r>
      <w:r>
        <w:rPr>
          <w:rFonts w:ascii="Calibri" w:eastAsia="微软雅黑" w:hAnsi="Calibri"/>
          <w:szCs w:val="22"/>
        </w:rPr>
        <w:t>先结论，后展开，摘要部分不做铺垫式写法。</w:t>
      </w:r>
    </w:p>
    <w:p w14:paraId="49B39B4D" w14:textId="77777777" w:rsidR="000E1477" w:rsidRDefault="00000000">
      <w:pPr>
        <w:spacing w:after="60" w:line="360" w:lineRule="auto"/>
      </w:pPr>
      <w:r>
        <w:rPr>
          <w:rFonts w:ascii="Calibri" w:eastAsia="微软雅黑" w:hAnsi="Calibri"/>
          <w:szCs w:val="22"/>
        </w:rPr>
        <w:t xml:space="preserve">2. </w:t>
      </w:r>
      <w:r>
        <w:rPr>
          <w:rFonts w:ascii="Calibri" w:eastAsia="微软雅黑" w:hAnsi="Calibri"/>
          <w:szCs w:val="22"/>
        </w:rPr>
        <w:t>每个一级部分结尾固定设置一段</w:t>
      </w:r>
      <w:r>
        <w:rPr>
          <w:rFonts w:ascii="Calibri" w:eastAsia="微软雅黑" w:hAnsi="Calibri"/>
          <w:szCs w:val="22"/>
        </w:rPr>
        <w:t>“</w:t>
      </w:r>
      <w:r>
        <w:rPr>
          <w:rFonts w:ascii="Calibri" w:eastAsia="微软雅黑" w:hAnsi="Calibri"/>
          <w:szCs w:val="22"/>
        </w:rPr>
        <w:t>小结</w:t>
      </w:r>
      <w:r>
        <w:rPr>
          <w:rFonts w:ascii="Calibri" w:eastAsia="微软雅黑" w:hAnsi="Calibri"/>
          <w:szCs w:val="22"/>
        </w:rPr>
        <w:t>”</w:t>
      </w:r>
      <w:r>
        <w:rPr>
          <w:rFonts w:ascii="Calibri" w:eastAsia="微软雅黑" w:hAnsi="Calibri"/>
          <w:szCs w:val="22"/>
        </w:rPr>
        <w:t>，浓缩该部分最重要的信息。</w:t>
      </w:r>
    </w:p>
    <w:p w14:paraId="0A59B85C" w14:textId="77777777" w:rsidR="000E1477" w:rsidRDefault="00000000">
      <w:pPr>
        <w:spacing w:after="60" w:line="360" w:lineRule="auto"/>
      </w:pPr>
      <w:r>
        <w:rPr>
          <w:rFonts w:ascii="Calibri" w:eastAsia="微软雅黑" w:hAnsi="Calibri"/>
          <w:szCs w:val="22"/>
        </w:rPr>
        <w:t xml:space="preserve">3. </w:t>
      </w:r>
      <w:r>
        <w:rPr>
          <w:rFonts w:ascii="Calibri" w:eastAsia="微软雅黑" w:hAnsi="Calibri"/>
          <w:szCs w:val="22"/>
        </w:rPr>
        <w:t>每个关键结论尽量附来源和日期，便于后续复核和沉淀。</w:t>
      </w:r>
    </w:p>
    <w:p w14:paraId="2F025DAA" w14:textId="77777777" w:rsidR="000E1477" w:rsidRDefault="00000000">
      <w:pPr>
        <w:spacing w:after="60" w:line="360" w:lineRule="auto"/>
      </w:pPr>
      <w:r>
        <w:rPr>
          <w:rFonts w:ascii="Calibri" w:eastAsia="微软雅黑" w:hAnsi="Calibri"/>
          <w:szCs w:val="22"/>
        </w:rPr>
        <w:t xml:space="preserve">4. </w:t>
      </w:r>
      <w:r>
        <w:rPr>
          <w:rFonts w:ascii="Calibri" w:eastAsia="微软雅黑" w:hAnsi="Calibri"/>
          <w:szCs w:val="22"/>
        </w:rPr>
        <w:t>每篇报告固定包含</w:t>
      </w:r>
      <w:r>
        <w:rPr>
          <w:rFonts w:ascii="Calibri" w:eastAsia="微软雅黑" w:hAnsi="Calibri"/>
          <w:szCs w:val="22"/>
        </w:rPr>
        <w:t>“</w:t>
      </w:r>
      <w:r>
        <w:rPr>
          <w:rFonts w:ascii="Calibri" w:eastAsia="微软雅黑" w:hAnsi="Calibri"/>
          <w:szCs w:val="22"/>
        </w:rPr>
        <w:t>正向逻辑</w:t>
      </w:r>
      <w:r>
        <w:rPr>
          <w:rFonts w:ascii="Calibri" w:eastAsia="微软雅黑" w:hAnsi="Calibri"/>
          <w:szCs w:val="22"/>
        </w:rPr>
        <w:t xml:space="preserve"> + </w:t>
      </w:r>
      <w:r>
        <w:rPr>
          <w:rFonts w:ascii="Calibri" w:eastAsia="微软雅黑" w:hAnsi="Calibri"/>
          <w:szCs w:val="22"/>
        </w:rPr>
        <w:t>反向风险</w:t>
      </w:r>
      <w:r>
        <w:rPr>
          <w:rFonts w:ascii="Calibri" w:eastAsia="微软雅黑" w:hAnsi="Calibri"/>
          <w:szCs w:val="22"/>
        </w:rPr>
        <w:t xml:space="preserve"> + </w:t>
      </w:r>
      <w:r>
        <w:rPr>
          <w:rFonts w:ascii="Calibri" w:eastAsia="微软雅黑" w:hAnsi="Calibri"/>
          <w:szCs w:val="22"/>
        </w:rPr>
        <w:t>触发条件</w:t>
      </w:r>
      <w:r>
        <w:rPr>
          <w:rFonts w:ascii="Calibri" w:eastAsia="微软雅黑" w:hAnsi="Calibri"/>
          <w:szCs w:val="22"/>
        </w:rPr>
        <w:t>”</w:t>
      </w:r>
      <w:r>
        <w:rPr>
          <w:rFonts w:ascii="Calibri" w:eastAsia="微软雅黑" w:hAnsi="Calibri"/>
          <w:szCs w:val="22"/>
        </w:rPr>
        <w:t>，形成完整闭环。</w:t>
      </w:r>
    </w:p>
    <w:p w14:paraId="08D01E19" w14:textId="77777777" w:rsidR="000E1477" w:rsidRDefault="00000000">
      <w:pPr>
        <w:spacing w:after="60" w:line="360" w:lineRule="auto"/>
      </w:pPr>
      <w:r>
        <w:rPr>
          <w:rFonts w:ascii="Calibri" w:eastAsia="微软雅黑" w:hAnsi="Calibri"/>
          <w:szCs w:val="22"/>
        </w:rPr>
        <w:t xml:space="preserve">5. </w:t>
      </w:r>
      <w:r>
        <w:rPr>
          <w:rFonts w:ascii="Calibri" w:eastAsia="微软雅黑" w:hAnsi="Calibri"/>
          <w:szCs w:val="22"/>
        </w:rPr>
        <w:t>表格口径统一，避免规模与份额、日化与年化、不同分类标准混用。</w:t>
      </w:r>
    </w:p>
    <w:p w14:paraId="331F68AB" w14:textId="77777777" w:rsidR="000E1477" w:rsidRDefault="00000000">
      <w:pPr>
        <w:spacing w:after="60" w:line="360" w:lineRule="auto"/>
      </w:pPr>
      <w:r>
        <w:rPr>
          <w:rFonts w:ascii="Calibri" w:eastAsia="微软雅黑" w:hAnsi="Calibri"/>
          <w:szCs w:val="22"/>
        </w:rPr>
        <w:t xml:space="preserve">6. </w:t>
      </w:r>
      <w:r>
        <w:rPr>
          <w:rFonts w:ascii="Calibri" w:eastAsia="微软雅黑" w:hAnsi="Calibri"/>
          <w:szCs w:val="22"/>
        </w:rPr>
        <w:t>横向比较类表格尽量放在正文中部，避免关键信息全部压到附录。</w:t>
      </w:r>
    </w:p>
    <w:p w14:paraId="56FF3BD1" w14:textId="29946029" w:rsidR="000E1477" w:rsidRDefault="00000000">
      <w:pPr>
        <w:spacing w:after="60" w:line="360" w:lineRule="auto"/>
      </w:pPr>
      <w:r>
        <w:rPr>
          <w:rFonts w:ascii="Calibri" w:eastAsia="微软雅黑" w:hAnsi="Calibri"/>
          <w:szCs w:val="22"/>
        </w:rPr>
        <w:t xml:space="preserve">7. </w:t>
      </w:r>
      <w:r>
        <w:rPr>
          <w:rFonts w:ascii="Calibri" w:eastAsia="微软雅黑" w:hAnsi="Calibri"/>
          <w:szCs w:val="22"/>
        </w:rPr>
        <w:t>报告语言保持研究口吻，多用条件判断和逻辑验证。</w:t>
      </w:r>
    </w:p>
    <w:p w14:paraId="6F0214A8" w14:textId="2686C9D7" w:rsidR="000E1477" w:rsidRDefault="000E1477">
      <w:pPr>
        <w:spacing w:after="60" w:line="360" w:lineRule="auto"/>
      </w:pPr>
    </w:p>
    <w:sectPr w:rsidR="000E147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A2DF" w14:textId="77777777" w:rsidR="003C6239" w:rsidRDefault="003C6239" w:rsidP="00D17B34">
      <w:pPr>
        <w:spacing w:after="0" w:line="240" w:lineRule="auto"/>
      </w:pPr>
      <w:r>
        <w:separator/>
      </w:r>
    </w:p>
  </w:endnote>
  <w:endnote w:type="continuationSeparator" w:id="0">
    <w:p w14:paraId="38DFAB59" w14:textId="77777777" w:rsidR="003C6239" w:rsidRDefault="003C6239" w:rsidP="00D17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341F" w14:textId="77777777" w:rsidR="003C6239" w:rsidRDefault="003C6239" w:rsidP="00D17B34">
      <w:pPr>
        <w:spacing w:after="0" w:line="240" w:lineRule="auto"/>
      </w:pPr>
      <w:r>
        <w:separator/>
      </w:r>
    </w:p>
  </w:footnote>
  <w:footnote w:type="continuationSeparator" w:id="0">
    <w:p w14:paraId="17E82A8E" w14:textId="77777777" w:rsidR="003C6239" w:rsidRDefault="003C6239" w:rsidP="00D17B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E1477"/>
    <w:rsid w:val="000E1477"/>
    <w:rsid w:val="003C6239"/>
    <w:rsid w:val="004D6FF1"/>
    <w:rsid w:val="00AB4C6C"/>
    <w:rsid w:val="00B45DAE"/>
    <w:rsid w:val="00D17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B957"/>
  <w15:docId w15:val="{432E3AB5-47FB-456F-A50F-C7DAD7F9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7B34"/>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17B34"/>
    <w:rPr>
      <w:sz w:val="18"/>
      <w:szCs w:val="18"/>
    </w:rPr>
  </w:style>
  <w:style w:type="paragraph" w:styleId="a5">
    <w:name w:val="footer"/>
    <w:basedOn w:val="a"/>
    <w:link w:val="a6"/>
    <w:uiPriority w:val="99"/>
    <w:unhideWhenUsed/>
    <w:rsid w:val="00D17B34"/>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17B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3866</Words>
  <Characters>4061</Characters>
  <Application>Microsoft Office Word</Application>
  <DocSecurity>0</DocSecurity>
  <Lines>253</Lines>
  <Paragraphs>344</Paragraphs>
  <ScaleCrop>false</ScaleCrop>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Wang</cp:lastModifiedBy>
  <cp:revision>3</cp:revision>
  <dcterms:created xsi:type="dcterms:W3CDTF">2026-06-30T02:57:00Z</dcterms:created>
  <dcterms:modified xsi:type="dcterms:W3CDTF">2026-06-30T10:09:00Z</dcterms:modified>
</cp:coreProperties>
</file>