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9DEF2">
      <w:pPr>
        <w:pStyle w:val="36"/>
      </w:pPr>
      <w:r>
        <w:t>W01 Field Data Landscape</w:t>
      </w:r>
    </w:p>
    <w:p w14:paraId="0B912F44">
      <w:r>
        <w:t xml:space="preserve">inGen Dynamics · Applied AI Analyst Intern · Chiyu Xu · Version 0.1 </w:t>
      </w:r>
      <w:bookmarkStart w:id="0" w:name="_GoBack"/>
      <w:bookmarkEnd w:id="0"/>
      <w:r>
        <w:t xml:space="preserve"> · October 2026</w:t>
      </w:r>
    </w:p>
    <w:p w14:paraId="112CD2A4">
      <w:pPr>
        <w:pStyle w:val="2"/>
      </w:pPr>
      <w:r>
        <w:t>1. Purpose</w:t>
      </w:r>
    </w:p>
    <w:p w14:paraId="3E131197">
      <w:r>
        <w:t>Map which unstructured text records each inGen platform produces, who writes them, what decisions classified data could support, and what privacy constraints apply — to set the scope for the four-week classification and analysis work.</w:t>
      </w:r>
    </w:p>
    <w:p w14:paraId="7D242496">
      <w:pPr>
        <w:pStyle w:val="2"/>
      </w:pPr>
      <w:r>
        <w:t>2. Text sources by platform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1947"/>
        <w:gridCol w:w="1280"/>
        <w:gridCol w:w="1703"/>
        <w:gridCol w:w="2012"/>
      </w:tblGrid>
      <w:tr w14:paraId="3840E053">
        <w:tc>
          <w:tcPr>
            <w:tcW w:w="1728" w:type="dxa"/>
          </w:tcPr>
          <w:p w14:paraId="15F4EB25">
            <w:pPr>
              <w:spacing w:after="0" w:line="240" w:lineRule="auto"/>
            </w:pPr>
            <w:r>
              <w:t>Platform</w:t>
            </w:r>
          </w:p>
        </w:tc>
        <w:tc>
          <w:tcPr>
            <w:tcW w:w="1728" w:type="dxa"/>
          </w:tcPr>
          <w:p w14:paraId="08B3EDC7">
            <w:pPr>
              <w:spacing w:after="0" w:line="240" w:lineRule="auto"/>
            </w:pPr>
            <w:r>
              <w:t>Text records</w:t>
            </w:r>
          </w:p>
        </w:tc>
        <w:tc>
          <w:tcPr>
            <w:tcW w:w="1728" w:type="dxa"/>
          </w:tcPr>
          <w:p w14:paraId="3C0B21EF">
            <w:pPr>
              <w:spacing w:after="0" w:line="240" w:lineRule="auto"/>
            </w:pPr>
            <w:r>
              <w:t>Who writes them</w:t>
            </w:r>
          </w:p>
        </w:tc>
        <w:tc>
          <w:tcPr>
            <w:tcW w:w="1728" w:type="dxa"/>
          </w:tcPr>
          <w:p w14:paraId="22CDB85F">
            <w:pPr>
              <w:spacing w:after="0" w:line="240" w:lineRule="auto"/>
            </w:pPr>
            <w:r>
              <w:t>Decisions supported</w:t>
            </w:r>
          </w:p>
        </w:tc>
        <w:tc>
          <w:tcPr>
            <w:tcW w:w="1728" w:type="dxa"/>
          </w:tcPr>
          <w:p w14:paraId="77418F39">
            <w:pPr>
              <w:spacing w:after="0" w:line="240" w:lineRule="auto"/>
            </w:pPr>
            <w:r>
              <w:t>Privacy constraints</w:t>
            </w:r>
          </w:p>
        </w:tc>
      </w:tr>
      <w:tr w14:paraId="568A0EFA">
        <w:tc>
          <w:tcPr>
            <w:tcW w:w="1728" w:type="dxa"/>
          </w:tcPr>
          <w:p w14:paraId="1EB9343A">
            <w:pPr>
              <w:spacing w:after="0" w:line="240" w:lineRule="auto"/>
            </w:pPr>
            <w:r>
              <w:t>Aido Rover (outdoor patrol) — PRIMARY</w:t>
            </w:r>
          </w:p>
        </w:tc>
        <w:tc>
          <w:tcPr>
            <w:tcW w:w="1728" w:type="dxa"/>
          </w:tcPr>
          <w:p w14:paraId="7E9F92E0">
            <w:pPr>
              <w:spacing w:after="0" w:line="240" w:lineRule="auto"/>
            </w:pPr>
            <w:r>
              <w:t>Operator incident notes; technician maintenance reports; guard responses to dispatch alerts; inspection report comments</w:t>
            </w:r>
          </w:p>
        </w:tc>
        <w:tc>
          <w:tcPr>
            <w:tcW w:w="1728" w:type="dxa"/>
          </w:tcPr>
          <w:p w14:paraId="3C566B33">
            <w:pPr>
              <w:spacing w:after="0" w:line="240" w:lineRule="auto"/>
            </w:pPr>
            <w:r>
              <w:t>Remote site operators, field technicians, security guards</w:t>
            </w:r>
          </w:p>
        </w:tc>
        <w:tc>
          <w:tcPr>
            <w:tcW w:w="1728" w:type="dxa"/>
          </w:tcPr>
          <w:p w14:paraId="55995575">
            <w:pPr>
              <w:spacing w:after="0" w:line="240" w:lineRule="auto"/>
            </w:pPr>
            <w:r>
              <w:t>Maintenance planning, patrol route and site setup, product fixes (battery, navigation, sensors)</w:t>
            </w:r>
          </w:p>
        </w:tc>
        <w:tc>
          <w:tcPr>
            <w:tcW w:w="1728" w:type="dxa"/>
          </w:tcPr>
          <w:p w14:paraId="58604117">
            <w:pPr>
              <w:spacing w:after="0" w:line="240" w:lineRule="auto"/>
            </w:pPr>
            <w:r>
              <w:t>Low: industrial sites; avoid names of guards/operators; GPS of patrol routes is site data, keep internal</w:t>
            </w:r>
          </w:p>
        </w:tc>
      </w:tr>
      <w:tr w14:paraId="6B01B1A9">
        <w:tc>
          <w:tcPr>
            <w:tcW w:w="1728" w:type="dxa"/>
          </w:tcPr>
          <w:p w14:paraId="089EE903">
            <w:pPr>
              <w:spacing w:after="0" w:line="240" w:lineRule="auto"/>
            </w:pPr>
            <w:r>
              <w:t>Fari (indoor eldercare) — SECONDARY</w:t>
            </w:r>
          </w:p>
        </w:tc>
        <w:tc>
          <w:tcPr>
            <w:tcW w:w="1728" w:type="dxa"/>
          </w:tcPr>
          <w:p w14:paraId="1AB54EC0">
            <w:pPr>
              <w:spacing w:after="0" w:line="240" w:lineRule="auto"/>
            </w:pPr>
            <w:r>
              <w:t>Care-staff notes; resident and family feedback; complaint logs; incident reports (falls, missed medication)</w:t>
            </w:r>
          </w:p>
        </w:tc>
        <w:tc>
          <w:tcPr>
            <w:tcW w:w="1728" w:type="dxa"/>
          </w:tcPr>
          <w:p w14:paraId="3B578330">
            <w:pPr>
              <w:spacing w:after="0" w:line="240" w:lineRule="auto"/>
            </w:pPr>
            <w:r>
              <w:t>Nurses / care workers, families, residents (via staff)</w:t>
            </w:r>
          </w:p>
        </w:tc>
        <w:tc>
          <w:tcPr>
            <w:tcW w:w="1728" w:type="dxa"/>
          </w:tcPr>
          <w:p w14:paraId="66E1768E">
            <w:pPr>
              <w:spacing w:after="0" w:line="240" w:lineRule="auto"/>
            </w:pPr>
            <w:r>
              <w:t>Product fixes (responsiveness, conversation, alert accuracy), alert threshold tuning, care workflow</w:t>
            </w:r>
          </w:p>
        </w:tc>
        <w:tc>
          <w:tcPr>
            <w:tcW w:w="1728" w:type="dxa"/>
          </w:tcPr>
          <w:p w14:paraId="330E0747">
            <w:pPr>
              <w:spacing w:after="0" w:line="240" w:lineRule="auto"/>
            </w:pPr>
            <w:r>
              <w:t>HIGH: health data; no names or contact details; home/room locations aggregated to coarse area; only resident-consented data may be shared with families</w:t>
            </w:r>
          </w:p>
        </w:tc>
      </w:tr>
      <w:tr w14:paraId="1F478F17">
        <w:tc>
          <w:tcPr>
            <w:tcW w:w="1728" w:type="dxa"/>
          </w:tcPr>
          <w:p w14:paraId="6B11A997">
            <w:pPr>
              <w:spacing w:after="0" w:line="240" w:lineRule="auto"/>
            </w:pPr>
            <w:r>
              <w:t>Sentinel Prime AI (security software)</w:t>
            </w:r>
          </w:p>
        </w:tc>
        <w:tc>
          <w:tcPr>
            <w:tcW w:w="1728" w:type="dxa"/>
          </w:tcPr>
          <w:p w14:paraId="5A8C533C">
            <w:pPr>
              <w:spacing w:after="0" w:line="240" w:lineRule="auto"/>
            </w:pPr>
            <w:r>
              <w:t>Security alert logs, operator acknowledgements</w:t>
            </w:r>
          </w:p>
        </w:tc>
        <w:tc>
          <w:tcPr>
            <w:tcW w:w="1728" w:type="dxa"/>
          </w:tcPr>
          <w:p w14:paraId="69964FAF">
            <w:pPr>
              <w:spacing w:after="0" w:line="240" w:lineRule="auto"/>
            </w:pPr>
            <w:r>
              <w:t>Security operators</w:t>
            </w:r>
          </w:p>
        </w:tc>
        <w:tc>
          <w:tcPr>
            <w:tcW w:w="1728" w:type="dxa"/>
          </w:tcPr>
          <w:p w14:paraId="3CEB83BF">
            <w:pPr>
              <w:spacing w:after="0" w:line="240" w:lineRule="auto"/>
            </w:pPr>
            <w:r>
              <w:t>False-alarm reduction, alert prioritisation</w:t>
            </w:r>
          </w:p>
        </w:tc>
        <w:tc>
          <w:tcPr>
            <w:tcW w:w="1728" w:type="dxa"/>
          </w:tcPr>
          <w:p w14:paraId="5AF9D60B">
            <w:pPr>
              <w:spacing w:after="0" w:line="240" w:lineRule="auto"/>
            </w:pPr>
            <w:r>
              <w:t>Medium: may contain images/descriptions of people; keep out of scope for now</w:t>
            </w:r>
          </w:p>
        </w:tc>
      </w:tr>
      <w:tr w14:paraId="45A7E936">
        <w:tc>
          <w:tcPr>
            <w:tcW w:w="1728" w:type="dxa"/>
          </w:tcPr>
          <w:p w14:paraId="6DD35163">
            <w:pPr>
              <w:spacing w:after="0" w:line="240" w:lineRule="auto"/>
            </w:pPr>
            <w:r>
              <w:t>Carry &amp; Go (hospitality)</w:t>
            </w:r>
          </w:p>
        </w:tc>
        <w:tc>
          <w:tcPr>
            <w:tcW w:w="1728" w:type="dxa"/>
          </w:tcPr>
          <w:p w14:paraId="14096FE9">
            <w:pPr>
              <w:spacing w:after="0" w:line="240" w:lineRule="auto"/>
            </w:pPr>
            <w:r>
              <w:t>Staff feedback, delivery failure notes</w:t>
            </w:r>
          </w:p>
        </w:tc>
        <w:tc>
          <w:tcPr>
            <w:tcW w:w="1728" w:type="dxa"/>
          </w:tcPr>
          <w:p w14:paraId="1898CCE9">
            <w:pPr>
              <w:spacing w:after="0" w:line="240" w:lineRule="auto"/>
            </w:pPr>
            <w:r>
              <w:t>Restaurant / hotel staff</w:t>
            </w:r>
          </w:p>
        </w:tc>
        <w:tc>
          <w:tcPr>
            <w:tcW w:w="1728" w:type="dxa"/>
          </w:tcPr>
          <w:p w14:paraId="74FEF9E1">
            <w:pPr>
              <w:spacing w:after="0" w:line="240" w:lineRule="auto"/>
            </w:pPr>
            <w:r>
              <w:t>Service reliability, route setup</w:t>
            </w:r>
          </w:p>
        </w:tc>
        <w:tc>
          <w:tcPr>
            <w:tcW w:w="1728" w:type="dxa"/>
          </w:tcPr>
          <w:p w14:paraId="6BD76E3A">
            <w:pPr>
              <w:spacing w:after="0" w:line="240" w:lineRule="auto"/>
            </w:pPr>
            <w:r>
              <w:t>Low–medium: customer descriptions</w:t>
            </w:r>
          </w:p>
        </w:tc>
      </w:tr>
      <w:tr w14:paraId="357BD91D">
        <w:tc>
          <w:tcPr>
            <w:tcW w:w="1728" w:type="dxa"/>
          </w:tcPr>
          <w:p w14:paraId="39B18BB0">
            <w:pPr>
              <w:spacing w:after="0" w:line="240" w:lineRule="auto"/>
            </w:pPr>
            <w:r>
              <w:t>Aido Humanoid · Senpai</w:t>
            </w:r>
          </w:p>
        </w:tc>
        <w:tc>
          <w:tcPr>
            <w:tcW w:w="1728" w:type="dxa"/>
          </w:tcPr>
          <w:p w14:paraId="6BA44FDA">
            <w:pPr>
              <w:spacing w:after="0" w:line="240" w:lineRule="auto"/>
            </w:pPr>
            <w:r>
              <w:t>Not yet deployed at scale — little field text</w:t>
            </w:r>
          </w:p>
        </w:tc>
        <w:tc>
          <w:tcPr>
            <w:tcW w:w="1728" w:type="dxa"/>
          </w:tcPr>
          <w:p w14:paraId="14A4D891">
            <w:pPr>
              <w:spacing w:after="0" w:line="240" w:lineRule="auto"/>
            </w:pPr>
            <w:r>
              <w:t>—</w:t>
            </w:r>
          </w:p>
        </w:tc>
        <w:tc>
          <w:tcPr>
            <w:tcW w:w="1728" w:type="dxa"/>
          </w:tcPr>
          <w:p w14:paraId="3F65DDFC">
            <w:pPr>
              <w:spacing w:after="0" w:line="240" w:lineRule="auto"/>
            </w:pPr>
            <w:r>
              <w:t>Future data sources</w:t>
            </w:r>
          </w:p>
        </w:tc>
        <w:tc>
          <w:tcPr>
            <w:tcW w:w="1728" w:type="dxa"/>
          </w:tcPr>
          <w:p w14:paraId="4C24E01E">
            <w:pPr>
              <w:spacing w:after="0" w:line="240" w:lineRule="auto"/>
            </w:pPr>
            <w:r>
              <w:t>Senpai: children / SEND learners — highest sensitivity when added</w:t>
            </w:r>
          </w:p>
        </w:tc>
      </w:tr>
    </w:tbl>
    <w:p w14:paraId="23ABD08B">
      <w:pPr>
        <w:pStyle w:val="2"/>
      </w:pPr>
      <w:r>
        <w:t>3. Privacy rules for this project</w:t>
      </w:r>
    </w:p>
    <w:p w14:paraId="56D2F3A6">
      <w:pPr>
        <w:pStyle w:val="23"/>
      </w:pPr>
      <w:r>
        <w:t>No operator, staff, resident or family names, phone numbers or emails in data, prompts or outputs.</w:t>
      </w:r>
    </w:p>
    <w:p w14:paraId="786ADD19">
      <w:pPr>
        <w:pStyle w:val="23"/>
      </w:pPr>
      <w:r>
        <w:t>Fari locations aggregated to a coarse area; never mapped to a precise home or room.</w:t>
      </w:r>
    </w:p>
    <w:p w14:paraId="3469CCFF">
      <w:pPr>
        <w:pStyle w:val="23"/>
      </w:pPr>
      <w:r>
        <w:t>Consent issues (e.g., family seeing data the resident did not share) are treated as data-governance issues, not robot incidents, and are excluded from the incident taxonomy (see Taxonomy Guide, borderline case 4).</w:t>
      </w:r>
    </w:p>
    <w:p w14:paraId="6B6644A5">
      <w:pPr>
        <w:pStyle w:val="23"/>
      </w:pPr>
      <w:r>
        <w:t>All synthetic data is labelled as synthetic.</w:t>
      </w:r>
    </w:p>
    <w:p w14:paraId="6EAA5AA0">
      <w:pPr>
        <w:pStyle w:val="2"/>
      </w:pPr>
      <w:r>
        <w:t>4. Scope for four weeks</w:t>
      </w:r>
    </w:p>
    <w:p w14:paraId="43662406">
      <w:r>
        <w:t>Aido Rover is the primary source: its reports cover hardware, autonomy, environment and human factors, and every incident has a location for geospatial analysis. Fari is secondary: its feedback uses different language (responsiveness, comfort, AI judgement) and tests whether the taxonomy generalises beyond one platform and whether privacy rules hold. Sentinel is noted as a next-step source; Humanoid and Senpai are out of scope until deployed.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DD9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2013-12-23T15:15:00Z</dcterms:created>
  <dc:creator>python-docx</dc:creator>
  <dc:description>generated by python-docx</dc:description>
  <cp:lastModifiedBy>leoooo</cp:lastModifiedBy>
  <dcterms:modified xsi:type="dcterms:W3CDTF">2026-10-15T17:59:36Z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D25F104BCB06B008F876D16AE835BD48_42</vt:lpwstr>
  </property>
</Properties>
</file>