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before="0" w:after="0"/>
        <w:jc w:val="center"/>
      </w:pPr>
      <w:r>
        <w:rPr>
          <w:rFonts w:ascii="FandolHei" w:hAnsi="FandolHei" w:eastAsia="FandolHei"/>
          <w:b/>
          <w:sz w:val="44"/>
        </w:rPr>
        <w:t>中国移动专利申请</w:t>
      </w:r>
    </w:p>
    <w:p>
      <w:pPr>
        <w:spacing w:line="480" w:lineRule="exact" w:before="0" w:after="160"/>
        <w:jc w:val="center"/>
      </w:pPr>
      <w:r>
        <w:rPr>
          <w:rFonts w:ascii="FandolHei" w:hAnsi="FandolHei" w:eastAsia="FandolHei"/>
          <w:b/>
          <w:sz w:val="32"/>
        </w:rPr>
        <w:t>技术交底书</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814"/>
        <w:gridCol w:w="6463"/>
      </w:tblGrid>
      <w:tr>
        <w:tc>
          <w:tcPr>
            <w:tcW w:type="dxa" w:w="1814"/>
            <w:vAlign w:val="center"/>
          </w:tcPr>
          <w:p>
            <w:pPr>
              <w:spacing w:line="360" w:lineRule="exact" w:before="0" w:after="0"/>
            </w:pPr>
            <w:r/>
            <w:r>
              <w:rPr>
                <w:rFonts w:ascii="FandolFang" w:hAnsi="FandolFang" w:eastAsia="FandolFang"/>
                <w:b w:val="0"/>
                <w:sz w:val="22"/>
              </w:rPr>
              <w:t>公司编号</w:t>
            </w:r>
          </w:p>
        </w:tc>
        <w:tc>
          <w:tcPr>
            <w:tcW w:type="dxa" w:w="6463"/>
            <w:vAlign w:val="center"/>
          </w:tcPr>
          <w:p>
            <w:pPr>
              <w:spacing w:line="360" w:lineRule="exact" w:before="0" w:after="0"/>
            </w:pPr>
            <w:r/>
            <w:r>
              <w:rPr>
                <w:rFonts w:ascii="FandolFang" w:hAnsi="FandolFang" w:eastAsia="FandolFang"/>
                <w:b w:val="0"/>
                <w:sz w:val="22"/>
              </w:rPr>
            </w:r>
          </w:p>
        </w:tc>
      </w:tr>
      <w:tr>
        <w:tc>
          <w:tcPr>
            <w:tcW w:type="dxa" w:w="1814"/>
            <w:vAlign w:val="center"/>
          </w:tcPr>
          <w:p>
            <w:pPr>
              <w:spacing w:line="360" w:lineRule="exact" w:before="0" w:after="0"/>
            </w:pPr>
            <w:r/>
            <w:r>
              <w:rPr>
                <w:rFonts w:ascii="FandolFang" w:hAnsi="FandolFang" w:eastAsia="FandolFang"/>
                <w:b w:val="0"/>
                <w:sz w:val="22"/>
              </w:rPr>
              <w:t>发明名称</w:t>
            </w:r>
          </w:p>
        </w:tc>
        <w:tc>
          <w:tcPr>
            <w:tcW w:type="dxa" w:w="6463"/>
            <w:vAlign w:val="center"/>
          </w:tcPr>
          <w:p>
            <w:pPr>
              <w:spacing w:line="360" w:lineRule="exact" w:before="0" w:after="0"/>
            </w:pPr>
            <w:r/>
            <w:r>
              <w:rPr>
                <w:rFonts w:ascii="FandolFang" w:hAnsi="FandolFang" w:eastAsia="FandolFang"/>
                <w:b w:val="0"/>
                <w:sz w:val="22"/>
              </w:rPr>
              <w:t>一种无线接入网多时间尺度数据协同处理与资源控制方法及装置</w:t>
            </w:r>
          </w:p>
        </w:tc>
      </w:tr>
      <w:tr>
        <w:tc>
          <w:tcPr>
            <w:tcW w:type="dxa" w:w="1814"/>
            <w:vAlign w:val="center"/>
          </w:tcPr>
          <w:p>
            <w:pPr>
              <w:spacing w:line="360" w:lineRule="exact" w:before="0" w:after="0"/>
            </w:pPr>
            <w:r/>
            <w:r>
              <w:rPr>
                <w:rFonts w:ascii="FandolFang" w:hAnsi="FandolFang" w:eastAsia="FandolFang"/>
                <w:b w:val="0"/>
                <w:sz w:val="22"/>
              </w:rPr>
              <w:t>申报单位</w:t>
            </w:r>
          </w:p>
        </w:tc>
        <w:tc>
          <w:tcPr>
            <w:tcW w:type="dxa" w:w="6463"/>
            <w:vAlign w:val="center"/>
          </w:tcPr>
          <w:p>
            <w:pPr>
              <w:spacing w:line="360" w:lineRule="exact" w:before="0" w:after="0"/>
            </w:pPr>
            <w:r/>
            <w:r>
              <w:rPr>
                <w:rFonts w:ascii="FandolFang" w:hAnsi="FandolFang" w:eastAsia="FandolFang"/>
                <w:b w:val="0"/>
                <w:sz w:val="22"/>
              </w:rPr>
              <w:t>中国移动研究院</w:t>
            </w:r>
          </w:p>
        </w:tc>
      </w:tr>
      <w:tr>
        <w:tc>
          <w:tcPr>
            <w:tcW w:type="dxa" w:w="1814"/>
            <w:vAlign w:val="center"/>
          </w:tcPr>
          <w:p>
            <w:pPr>
              <w:spacing w:line="360" w:lineRule="exact" w:before="0" w:after="0"/>
            </w:pPr>
            <w:r/>
            <w:r>
              <w:rPr>
                <w:rFonts w:ascii="FandolFang" w:hAnsi="FandolFang" w:eastAsia="FandolFang"/>
                <w:b w:val="0"/>
                <w:sz w:val="22"/>
              </w:rPr>
              <w:t>申报类型</w:t>
            </w:r>
          </w:p>
        </w:tc>
        <w:tc>
          <w:tcPr>
            <w:tcW w:type="dxa" w:w="6463"/>
            <w:vAlign w:val="center"/>
          </w:tcPr>
          <w:p>
            <w:pPr>
              <w:spacing w:line="360" w:lineRule="exact" w:before="0" w:after="0"/>
            </w:pPr>
            <w:r/>
            <w:r>
              <w:rPr>
                <w:rFonts w:ascii="FandolFang" w:hAnsi="FandolFang" w:eastAsia="FandolFang"/>
                <w:b w:val="0"/>
                <w:sz w:val="22"/>
              </w:rPr>
              <w:t>发明</w:t>
            </w:r>
          </w:p>
        </w:tc>
      </w:tr>
      <w:tr>
        <w:tc>
          <w:tcPr>
            <w:tcW w:type="dxa" w:w="1814"/>
            <w:vAlign w:val="center"/>
          </w:tcPr>
          <w:p>
            <w:pPr>
              <w:spacing w:line="360" w:lineRule="exact" w:before="0" w:after="0"/>
            </w:pPr>
            <w:r/>
            <w:r>
              <w:rPr>
                <w:rFonts w:ascii="FandolFang" w:hAnsi="FandolFang" w:eastAsia="FandolFang"/>
                <w:b w:val="0"/>
                <w:sz w:val="22"/>
              </w:rPr>
              <w:t>发明人</w:t>
            </w:r>
          </w:p>
        </w:tc>
        <w:tc>
          <w:tcPr>
            <w:tcW w:type="dxa" w:w="6463"/>
            <w:vAlign w:val="center"/>
          </w:tcPr>
          <w:p>
            <w:pPr>
              <w:spacing w:line="360" w:lineRule="exact" w:before="0" w:after="0"/>
            </w:pPr>
            <w:r/>
            <w:r>
              <w:rPr>
                <w:rFonts w:ascii="FandolFang" w:hAnsi="FandolFang" w:eastAsia="FandolFang"/>
                <w:b w:val="0"/>
                <w:sz w:val="22"/>
              </w:rPr>
              <w:t>许达、邵泽才、吴佳骏</w:t>
            </w:r>
          </w:p>
        </w:tc>
      </w:tr>
      <w:tr>
        <w:tc>
          <w:tcPr>
            <w:tcW w:type="dxa" w:w="1814"/>
            <w:vAlign w:val="center"/>
          </w:tcPr>
          <w:p>
            <w:pPr>
              <w:spacing w:line="360" w:lineRule="exact" w:before="0" w:after="0"/>
            </w:pPr>
            <w:r/>
            <w:r>
              <w:rPr>
                <w:rFonts w:ascii="FandolFang" w:hAnsi="FandolFang" w:eastAsia="FandolFang"/>
                <w:b w:val="0"/>
                <w:sz w:val="22"/>
              </w:rPr>
              <w:t>技术联系人</w:t>
            </w:r>
          </w:p>
        </w:tc>
        <w:tc>
          <w:tcPr>
            <w:tcW w:type="dxa" w:w="6463"/>
            <w:vAlign w:val="center"/>
          </w:tcPr>
          <w:p>
            <w:pPr>
              <w:spacing w:line="360" w:lineRule="exact" w:before="0" w:after="0"/>
            </w:pPr>
            <w:r/>
            <w:r>
              <w:rPr>
                <w:rFonts w:ascii="FandolFang" w:hAnsi="FandolFang" w:eastAsia="FandolFang"/>
                <w:b w:val="0"/>
                <w:sz w:val="22"/>
              </w:rPr>
              <w:t>许达，xudayj@chinamobile.com</w:t>
            </w:r>
          </w:p>
        </w:tc>
      </w:tr>
    </w:tbl>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8306"/>
      </w:tblGrid>
      <w:tr>
        <w:tc>
          <w:tcPr>
            <w:tcW w:type="dxa" w:w="8306"/>
          </w:tcPr>
          <w:p>
            <w:pPr>
              <w:spacing w:line="320" w:lineRule="exact" w:before="60" w:after="60"/>
            </w:pPr>
            <w:r/>
            <w:r>
              <w:rPr>
                <w:rFonts w:ascii="FandolFang" w:hAnsi="FandolFang" w:eastAsia="FandolFang"/>
                <w:b w:val="0"/>
                <w:sz w:val="18"/>
              </w:rPr>
              <w:t>注意事项1．技术联系人应为深入了解本申请提案技术方案的技术人员，负责向专利审核人员和代理人解释技术细节、修改交底书、审核申请文件等工作。2．请按照集团公司提供的本技术交底书模板逐项填写，除交底书第八部分为可选项外，其他均为必须填写的内容。3．技术交底书文件命名要求：发明名称＋短横线（半角）＋交底书＋版本号。</w:t>
            </w:r>
          </w:p>
        </w:tc>
      </w:tr>
    </w:tbl>
    <w:p>
      <w:pPr>
        <w:spacing w:line="400" w:lineRule="exact" w:before="160" w:after="240"/>
        <w:jc w:val="center"/>
      </w:pPr>
      <w:r>
        <w:rPr>
          <w:rFonts w:ascii="FandolHei" w:hAnsi="FandolHei" w:eastAsia="FandolHei"/>
          <w:b/>
          <w:sz w:val="32"/>
        </w:rPr>
        <w:t>中国移动通信集团有限公司</w:t>
      </w:r>
    </w:p>
    <w:p>
      <w:pPr>
        <w:keepNext/>
        <w:spacing w:line="480" w:lineRule="exact" w:before="160" w:after="40"/>
      </w:pPr>
      <w:r>
        <w:rPr>
          <w:rFonts w:ascii="FandolHei" w:hAnsi="FandolHei" w:eastAsia="FandolHei"/>
          <w:b/>
          <w:sz w:val="24"/>
        </w:rPr>
        <w:t>一、发明名称</w:t>
      </w:r>
    </w:p>
    <w:p>
      <w:pPr>
        <w:spacing w:line="480" w:lineRule="exact" w:before="0" w:after="0"/>
        <w:ind w:firstLine="480"/>
      </w:pPr>
      <w:r>
        <w:rPr>
          <w:rFonts w:ascii="FandolFang" w:hAnsi="FandolFang" w:eastAsia="FandolFang"/>
          <w:b w:val="0"/>
          <w:sz w:val="24"/>
        </w:rPr>
        <w:t>一种无线接入网多时间尺度数据协同处理与资源控制方法及装置。</w:t>
      </w:r>
    </w:p>
    <w:p>
      <w:pPr>
        <w:keepNext/>
        <w:spacing w:line="480" w:lineRule="exact" w:before="160" w:after="40"/>
      </w:pPr>
      <w:r>
        <w:rPr>
          <w:rFonts w:ascii="FandolHei" w:hAnsi="FandolHei" w:eastAsia="FandolHei"/>
          <w:b/>
          <w:sz w:val="24"/>
        </w:rPr>
        <w:t>二、技术领域</w:t>
      </w:r>
    </w:p>
    <w:p>
      <w:pPr>
        <w:spacing w:line="480" w:lineRule="exact" w:before="0" w:after="0"/>
        <w:ind w:firstLine="480"/>
      </w:pPr>
      <w:r>
        <w:rPr>
          <w:rFonts w:ascii="FandolFang" w:hAnsi="FandolFang" w:eastAsia="FandolFang"/>
          <w:b w:val="0"/>
          <w:sz w:val="24"/>
        </w:rPr>
        <w:t>本申请涉及无线接入网测量处理、预测辅助资源控制及节点间信息协同，具体涉及不同采样周期的无线观测在共同决策时刻的时效判定、慢速预测上下文与快速状态更新的协同，以及上下文失效后的资源控制。可用于多小区下行功率与干扰协调，并为面向6G的无线智能控制提供实现方案。</w:t>
      </w:r>
    </w:p>
    <w:p>
      <w:pPr>
        <w:keepNext/>
        <w:spacing w:line="480" w:lineRule="exact" w:before="160" w:after="40"/>
      </w:pPr>
      <w:r>
        <w:rPr>
          <w:rFonts w:ascii="FandolHei" w:hAnsi="FandolHei" w:eastAsia="FandolHei"/>
          <w:b/>
          <w:sz w:val="24"/>
        </w:rPr>
        <w:t>三、现有技术的技术方案</w:t>
      </w:r>
    </w:p>
    <w:p>
      <w:pPr>
        <w:spacing w:line="480" w:lineRule="exact" w:before="0" w:after="0"/>
        <w:ind w:firstLine="480"/>
      </w:pPr>
      <w:r>
        <w:rPr>
          <w:rFonts w:ascii="FandolFang" w:hAnsi="FandolFang" w:eastAsia="FandolFang"/>
          <w:b w:val="0"/>
          <w:sz w:val="24"/>
        </w:rPr>
        <w:t>无线接入网的信道、干扰、队列、负载统计和拓扑配置具有不同采样周期、统计区间、到达时延和生效时间。公开方案已分别覆盖RAN的双/多时间尺度切片资源管理、云边协同无线信道预测、无线数据补全与预测，以及根据无线资源管理任务确定算法更新时标。它们说明不同时间尺度控制和数据处理本身属于已有技术基础。</w:t>
      </w:r>
    </w:p>
    <w:p>
      <w:pPr>
        <w:spacing w:line="480" w:lineRule="exact" w:before="0" w:after="0"/>
        <w:ind w:firstLine="480"/>
      </w:pPr>
      <w:r>
        <w:rPr>
          <w:rFonts w:ascii="FandolFang" w:hAnsi="FandolFang" w:eastAsia="FandolFang"/>
          <w:b w:val="0"/>
          <w:sz w:val="24"/>
        </w:rPr>
        <w:t>常见实现将最近收到的多源数据拼接成状态后预测资源配置，或按固定周期重建预测器/适配参数并在相邻快周期复用。网络控制指令还要经过节点传输和执行排队，因此决策时刻与实际生效时刻可能不同。不同样本的采样时间、接收时间、统计区间和配置版本不能仅凭“最新到达”合并为同一时刻状态。</w:t>
      </w:r>
    </w:p>
    <w:p>
      <w:pPr>
        <w:keepNext/>
        <w:spacing w:line="480" w:lineRule="exact" w:before="160" w:after="40"/>
      </w:pPr>
      <w:r>
        <w:rPr>
          <w:rFonts w:ascii="FandolHei" w:hAnsi="FandolHei" w:eastAsia="FandolHei"/>
          <w:b/>
          <w:sz w:val="24"/>
        </w:rPr>
        <w:t>四、现有技术的缺点及本申请要解决的技术问题</w:t>
      </w:r>
    </w:p>
    <w:p>
      <w:pPr>
        <w:spacing w:line="480" w:lineRule="exact" w:before="0" w:after="0"/>
        <w:ind w:firstLine="480"/>
      </w:pPr>
      <w:r>
        <w:rPr>
          <w:rFonts w:ascii="FandolFang" w:hAnsi="FandolFang" w:eastAsia="FandolFang"/>
          <w:b w:val="0"/>
          <w:sz w:val="24"/>
        </w:rPr>
        <w:t>直接拼接最近到达的数据会把不同事件时刻和统计区间的数据误当成同一时刻状态；接收时间也不能替代采样时间。固定周期复用虽可减少重复计算，却可能在依赖测量超龄、配置版本变化或命令延迟后继续使用不适用的预测上下文。仅以新测量刷新缓存时间戳，不能证明旧上下文仍有效。</w:t>
      </w:r>
    </w:p>
    <w:p>
      <w:pPr>
        <w:spacing w:line="480" w:lineRule="exact" w:before="0" w:after="0"/>
        <w:ind w:firstLine="480"/>
      </w:pPr>
      <w:r>
        <w:rPr>
          <w:rFonts w:ascii="FandolFang" w:hAnsi="FandolFang" w:eastAsia="FandolFang"/>
          <w:b w:val="0"/>
          <w:sz w:val="24"/>
        </w:rPr>
        <w:t>本申请要解决的技术问题是：如何在多速率无线观测共同参与资源控制时保留来源时间及有效性，允许快速状态用新观测更新，同时以生成依赖和无线配置约束慢速上下文的复用期限，并使失效判断延伸到命令执行与实际反馈。</w:t>
      </w:r>
    </w:p>
    <w:p>
      <w:pPr>
        <w:keepNext/>
        <w:spacing w:line="480" w:lineRule="exact" w:before="160" w:after="40"/>
      </w:pPr>
      <w:r>
        <w:rPr>
          <w:rFonts w:ascii="FandolHei" w:hAnsi="FandolHei" w:eastAsia="FandolHei"/>
          <w:b/>
          <w:sz w:val="24"/>
        </w:rPr>
        <w:t>五、本申请的技术方案的详细阐述</w:t>
      </w:r>
    </w:p>
    <w:p>
      <w:pPr>
        <w:spacing w:line="480" w:lineRule="exact" w:before="0" w:after="0"/>
        <w:ind w:firstLine="480"/>
      </w:pPr>
      <w:r>
        <w:rPr>
          <w:rFonts w:ascii="FandolFang" w:hAnsi="FandolFang" w:eastAsia="FandolFang"/>
          <w:b w:val="0"/>
          <w:sz w:val="24"/>
        </w:rPr>
        <w:t>系统包括观测缓冲、上下文生成、快速预测控制和无线执行等逻辑功能；可部署于同一设备或分布式节点。快控制周期为Δt，慢上下文可按周期ΔT或事件更新，两者不要求为整数倍。</w:t>
      </w:r>
    </w:p>
    <w:p>
      <w:pPr>
        <w:keepNext/>
        <w:spacing w:before="60" w:after="0"/>
        <w:jc w:val="center"/>
      </w:pPr>
      <w:r>
        <w:drawing>
          <wp:inline xmlns:a="http://schemas.openxmlformats.org/drawingml/2006/main" xmlns:pic="http://schemas.openxmlformats.org/drawingml/2006/picture">
            <wp:extent cx="5184000" cy="1401796"/>
            <wp:docPr id="1" name="Picture 1"/>
            <wp:cNvGraphicFramePr>
              <a:graphicFrameLocks noChangeAspect="1"/>
            </wp:cNvGraphicFramePr>
            <a:graphic>
              <a:graphicData uri="http://schemas.openxmlformats.org/drawingml/2006/picture">
                <pic:pic>
                  <pic:nvPicPr>
                    <pic:cNvPr id="0" name="coordination.png"/>
                    <pic:cNvPicPr/>
                  </pic:nvPicPr>
                  <pic:blipFill>
                    <a:blip r:embed="rId9"/>
                    <a:stretch>
                      <a:fillRect/>
                    </a:stretch>
                  </pic:blipFill>
                  <pic:spPr>
                    <a:xfrm>
                      <a:off x="0" y="0"/>
                      <a:ext cx="5184000" cy="1401796"/>
                    </a:xfrm>
                    <a:prstGeom prst="rect"/>
                  </pic:spPr>
                </pic:pic>
              </a:graphicData>
            </a:graphic>
          </wp:inline>
        </w:drawing>
      </w:r>
    </w:p>
    <w:p>
      <w:pPr>
        <w:spacing w:line="320" w:lineRule="exact" w:before="0" w:after="60"/>
        <w:jc w:val="center"/>
      </w:pPr>
      <w:r>
        <w:rPr>
          <w:rFonts w:ascii="FandolFang" w:hAnsi="FandolFang" w:eastAsia="FandolFang"/>
          <w:b w:val="0"/>
          <w:sz w:val="21"/>
        </w:rPr>
        <w:t>图1 多时间尺度观测协同处理、上下文复用与执行反馈</w:t>
      </w:r>
    </w:p>
    <w:p>
      <w:pPr>
        <w:spacing w:line="480" w:lineRule="exact" w:before="0" w:after="0"/>
        <w:ind w:firstLine="480"/>
      </w:pPr>
      <w:r>
        <w:rPr>
          <w:rFonts w:ascii="FandolFang" w:hAnsi="FandolFang" w:eastAsia="FandolFang"/>
          <w:b w:val="0"/>
          <w:sz w:val="24"/>
        </w:rPr>
        <w:t>（1）分源记录与时间对齐。每条观测记录来源、小区/资源标识、值及单位、采样时刻或统计区间、到达时刻、采样周期、有效标志和配置版本。按源存入有界事件时间缓冲；决策时读取不可变快照，迟到样本只供后续决策。已知时钟偏移和误差上界ε时，统一换算采样时间τ，并仅使用已到达且采样结束时刻加ε不晚于决策时刻t的样本；未知时间关系则标记不可用。区间统计保留起止时间和统计量类型，不作为瞬时值。超龄或缺失数据使用无效掩码，不伪造时间戳。</w:t>
      </w:r>
    </w:p>
    <w:p>
      <w:pPr>
        <w:spacing w:line="480" w:lineRule="exact" w:before="0" w:after="0"/>
        <w:ind w:firstLine="480"/>
      </w:pPr>
      <w:r>
        <w:rPr>
          <w:rFonts w:ascii="FandolFang" w:hAnsi="FandolFang" w:eastAsia="FandolFang"/>
          <w:b w:val="0"/>
          <w:sz w:val="24"/>
        </w:rPr>
        <w:t>（2）不同速率协同。快速状态由当前有效测量和因果历史构成；中速负载等可用区间统计表征；慢速上下文由跨源摘要及有效配置生成。上下文保存生成时必要依赖的采样/统计时间、配置版本、允许变化范围、最大依赖年龄和无线作用范围。每个快步校验这些依赖。必要数据超龄、版本改变或变化超出适用范围时停止复用并重建。新测量可更新快速状态，但不得改变旧上下文所绑定依赖的时间或延长其期限。</w:t>
      </w:r>
    </w:p>
    <w:p>
      <w:pPr>
        <w:spacing w:line="480" w:lineRule="exact" w:before="0" w:after="0"/>
        <w:ind w:firstLine="480"/>
      </w:pPr>
      <w:r>
        <w:rPr>
          <w:rFonts w:ascii="FandolFang" w:hAnsi="FandolFang" w:eastAsia="FandolFang"/>
          <w:b w:val="0"/>
          <w:sz w:val="24"/>
        </w:rPr>
        <w:t>可将上下文最迟失效时刻配置为T_dead=min(T_declared, min_i(τ_i+D_i−ε_i))，其中i遍历必要依赖，D_i为其最大依赖年龄；任一硬失效条件先到时立即停用。等于失效边界时视为无效。该计算可由上下文生成端或控制端完成。</w:t>
      </w:r>
    </w:p>
    <w:p>
      <w:pPr>
        <w:keepNext/>
        <w:spacing w:before="60" w:after="0"/>
        <w:jc w:val="center"/>
      </w:pPr>
      <w:r>
        <w:drawing>
          <wp:inline xmlns:a="http://schemas.openxmlformats.org/drawingml/2006/main" xmlns:pic="http://schemas.openxmlformats.org/drawingml/2006/picture">
            <wp:extent cx="5184000" cy="1565601"/>
            <wp:docPr id="2" name="Picture 2"/>
            <wp:cNvGraphicFramePr>
              <a:graphicFrameLocks noChangeAspect="1"/>
            </wp:cNvGraphicFramePr>
            <a:graphic>
              <a:graphicData uri="http://schemas.openxmlformats.org/drawingml/2006/picture">
                <pic:pic>
                  <pic:nvPicPr>
                    <pic:cNvPr id="0" name="deadline.png"/>
                    <pic:cNvPicPr/>
                  </pic:nvPicPr>
                  <pic:blipFill>
                    <a:blip r:embed="rId10"/>
                    <a:stretch>
                      <a:fillRect/>
                    </a:stretch>
                  </pic:blipFill>
                  <pic:spPr>
                    <a:xfrm>
                      <a:off x="0" y="0"/>
                      <a:ext cx="5184000" cy="1565601"/>
                    </a:xfrm>
                    <a:prstGeom prst="rect"/>
                  </pic:spPr>
                </pic:pic>
              </a:graphicData>
            </a:graphic>
          </wp:inline>
        </w:drawing>
      </w:r>
    </w:p>
    <w:p>
      <w:pPr>
        <w:spacing w:line="320" w:lineRule="exact" w:before="0" w:after="60"/>
        <w:jc w:val="center"/>
      </w:pPr>
      <w:r>
        <w:rPr>
          <w:rFonts w:ascii="FandolFang" w:hAnsi="FandolFang" w:eastAsia="FandolFang"/>
          <w:b w:val="0"/>
          <w:sz w:val="21"/>
        </w:rPr>
        <w:t>图2 上下文依赖期限、新测量到达与候选执行时刻示例</w:t>
      </w:r>
    </w:p>
    <w:p>
      <w:pPr>
        <w:spacing w:line="480" w:lineRule="exact" w:before="0" w:after="0"/>
        <w:ind w:firstLine="480"/>
      </w:pPr>
      <w:r>
        <w:rPr>
          <w:rFonts w:ascii="FandolFang" w:hAnsi="FandolFang" w:eastAsia="FandolFang"/>
          <w:b w:val="0"/>
          <w:sz w:val="24"/>
        </w:rPr>
        <w:t>（3）上下文安装与激活。上下文携带发送实体/会话、序号、模型兼容配置、作用范围、激活及失效时刻、依赖清单和适配载荷。接收端检查完整性、语义、维度、精度、作用范围与时间条件后安装为待激活对象；按会话及范围拒绝旧序号，重启时建立新会话。同序号同内容幂等确认、异内容拒绝。激活前重检；安装不直接覆盖当前活动上下文。</w:t>
      </w:r>
    </w:p>
    <w:p>
      <w:pPr>
        <w:spacing w:line="480" w:lineRule="exact" w:before="0" w:after="0"/>
        <w:ind w:firstLine="480"/>
      </w:pPr>
      <w:r>
        <w:rPr>
          <w:rFonts w:ascii="FandolFang" w:hAnsi="FandolFang" w:eastAsia="FandolFang"/>
          <w:b w:val="0"/>
          <w:sz w:val="24"/>
        </w:rPr>
        <w:t>（4）快速预测与控制。每次控制以最新有效测量校正状态，对候选动作分别复制状态及递归记忆，共用只读上下文；一个候选的终态或摘要不作为另一候选起点。先检查可直接判定的单小区与总功率等硬约束，再对候选预测和评分。候选预测终点、预计执行时刻均须在T_dead之前。无有效候选、推理超时或数值异常时使用预配置本地控制。输出前及执行端执行前均检查上下文标识、命令期限和本地硬约束；迟到命令拒绝。对于跨节点不能瞬时撤销的命令，以短执行期限限制滞留。</w:t>
      </w:r>
    </w:p>
    <w:p>
      <w:pPr>
        <w:spacing w:line="480" w:lineRule="exact" w:before="0" w:after="0"/>
        <w:ind w:firstLine="480"/>
      </w:pPr>
      <w:r>
        <w:rPr>
          <w:rFonts w:ascii="FandolFang" w:hAnsi="FandolFang" w:eastAsia="FandolFang"/>
          <w:b w:val="0"/>
          <w:sz w:val="24"/>
        </w:rPr>
        <w:t>（5）反馈与回退。控制标识关联请求动作、实际动作、生效时刻和后续观测区间。仅对已执行动作及时间对齐的实际观测计算归一化残差；动作回执未知、反馈缺失或时间不齐时标记残差不可用，不记为零误差。连续误差超限、依赖失效、配置不兼容或监测超时会停用上下文并回退。新上下文校验后于激活点切换；恢复依据较低门限或连续合格次数及最小保持时间。阈值由部署配置和验证确定。</w:t>
      </w:r>
    </w:p>
    <w:p>
      <w:pPr>
        <w:spacing w:line="480" w:lineRule="exact" w:before="0" w:after="0"/>
        <w:ind w:firstLine="480"/>
      </w:pPr>
      <w:r>
        <w:rPr>
          <w:rFonts w:ascii="FandolFang" w:hAnsi="FandolFang" w:eastAsia="FandolFang"/>
          <w:b w:val="0"/>
          <w:sz w:val="24"/>
        </w:rPr>
        <w:t>实施例：相邻小区快控制间隔10 ms，链路测量周期10 ms，负载统计区间100 ms，慢上下文计划200 ms更新。100 ms决策时，90 ms样本于95 ms到达可用；80 ms样本于102 ms到达则不可用。若上下文依赖90 ms样本且最大依赖年龄50 ms，其最迟依赖期限为140 ms。120 ms收到的新快速测量可校正当前状态，但不延长该上下文期限；若在135 ms作出的动作预计145 ms才生效，则该候选不得沿用此上下文。以上数值仅为示例配置。</w:t>
      </w:r>
    </w:p>
    <w:p>
      <w:pPr>
        <w:keepNext/>
        <w:spacing w:line="480" w:lineRule="exact" w:before="160" w:after="40"/>
      </w:pPr>
      <w:r>
        <w:rPr>
          <w:rFonts w:ascii="FandolHei" w:hAnsi="FandolHei" w:eastAsia="FandolHei"/>
          <w:b/>
          <w:sz w:val="24"/>
        </w:rPr>
        <w:t>六、本申请的关键点和欲保护点</w:t>
      </w:r>
    </w:p>
    <w:p>
      <w:pPr>
        <w:spacing w:line="480" w:lineRule="exact" w:before="0" w:after="0"/>
        <w:ind w:firstLine="480"/>
      </w:pPr>
      <w:r>
        <w:rPr>
          <w:rFonts w:ascii="FandolFang" w:hAnsi="FandolFang" w:eastAsia="FandolFang"/>
          <w:b w:val="0"/>
          <w:sz w:val="24"/>
        </w:rPr>
        <w:t>1.按来源保留采样时间、统计区间、到达时间及不确定度，在共同决策时刻因果筛选有效多速率无线观测。2.慢速预测上下文绑定生成依赖时间、配置版本、最大依赖年龄和作用范围；新快速观测不刷新旧依赖的期限。3.在每个快步及执行时刻重检上下文、预测终点和命令期限，越界时停用并回退。4.将候选动作独立预测、可检验约束过滤、实际动作反馈及失效恢复纳入同一无线控制流程。</w:t>
      </w:r>
    </w:p>
    <w:p>
      <w:pPr>
        <w:keepNext/>
        <w:spacing w:line="480" w:lineRule="exact" w:before="160" w:after="40"/>
      </w:pPr>
      <w:r>
        <w:rPr>
          <w:rFonts w:ascii="FandolHei" w:hAnsi="FandolHei" w:eastAsia="FandolHei"/>
          <w:b/>
          <w:sz w:val="24"/>
        </w:rPr>
        <w:t>七、与第三条中最接近的现有技术相比，本申请有何技术优点</w:t>
      </w:r>
    </w:p>
    <w:p>
      <w:pPr>
        <w:spacing w:line="480" w:lineRule="exact" w:before="0" w:after="0"/>
        <w:ind w:firstLine="480"/>
      </w:pPr>
      <w:r>
        <w:rPr>
          <w:rFonts w:ascii="FandolFang" w:hAnsi="FandolFang" w:eastAsia="FandolFang"/>
          <w:b w:val="0"/>
          <w:sz w:val="24"/>
        </w:rPr>
        <w:t>CN114867030A和CN119653392A均涉及RAN资源控制的双/多时间尺度分层；CN120223471A涉及云边协同的多时间尺度无线信道预测；CN122262508A涉及无线数据补全和未来时间步预测。这些公开表明，本申请的区别不能概括为“多时间尺度RAN控制”或“融合快慢数据”。本申请拟进一步限定每条观测的事件时间与到达时间筛选、上下文生成依赖和配置版本的绑定、按必要依赖计算的失效边界，以及动作预计生效时刻与执行期限同时受边界约束。</w:t>
      </w:r>
    </w:p>
    <w:p>
      <w:pPr>
        <w:spacing w:line="480" w:lineRule="exact" w:before="0" w:after="0"/>
        <w:ind w:firstLine="480"/>
      </w:pPr>
      <w:r>
        <w:rPr>
          <w:rFonts w:ascii="FandolFang" w:hAnsi="FandolFang" w:eastAsia="FandolFang"/>
          <w:b w:val="0"/>
          <w:sz w:val="24"/>
        </w:rPr>
        <w:t>与仅在预测/控制侧定期更新或停用相比，本方案进一步规定新测量可校正当前快速状态，但不延长已生成上下文所依赖样本的期限；执行端复核控制期限，并只用已执行动作和时间对齐观测评估残差。上述特征可能形成可检验的技术效果，是否具备新颖性、创造性及有效申请日支持仍须结合完整权利要求和更全面检索判断。上下文复用可能减少慢变数据重复处理，算力、信令及无线性能收益需同等条件实测。</w:t>
      </w:r>
    </w:p>
    <w:p>
      <w:pPr>
        <w:keepNext/>
        <w:spacing w:line="480" w:lineRule="exact" w:before="160" w:after="40"/>
      </w:pPr>
      <w:r>
        <w:rPr>
          <w:rFonts w:ascii="FandolHei" w:hAnsi="FandolHei" w:eastAsia="FandolHei"/>
          <w:b/>
          <w:sz w:val="24"/>
        </w:rPr>
        <w:t>八、其他有助于理解本申请的技术资料</w:t>
      </w:r>
    </w:p>
    <w:p>
      <w:pPr>
        <w:spacing w:line="480" w:lineRule="exact" w:before="0" w:after="0"/>
        <w:ind w:firstLine="480"/>
      </w:pPr>
      <w:r>
        <w:rPr>
          <w:rFonts w:ascii="FandolFang" w:hAnsi="FandolFang" w:eastAsia="FandolFang"/>
          <w:b w:val="0"/>
          <w:sz w:val="24"/>
        </w:rPr>
        <w:t>可选实现可用编码器处理数值、年龄、周期和有效掩码并输出预测器适配参数，快层可采用循环状态空间模型；具体网络、低秩形式、消息编码和节点部署不是协同流程的唯一实现。面向6G标准化，可研究跨节点观测时间基准、上下文依赖及生命周期、动作执行期限、失效原因和反馈等互通语义。3GPP于2026年发布首项6G RAN研究成果TR 38.914，覆盖场景、需求、能力、测试与符合性，后续仍有工作组研究；因此本申请可按明确用例、可测指标、复杂度/开销及测试方法组织标准化提案，具体工作组归属与接口分工须以正式工作项为准。拟议信息字段仅为功能建议，不代表已分配的3GPP消息或信息元素。3GPP TS 28.105 V18.4.0可作为现有5G AI/ML管理与生命周期机制的适配背景，不等同6G规范，也不表示本申请已被标准采纳或具有标准必要性。现有合成实验不验证新增失效协议或真实无线收益。3GPP参考：https://www.3gpp.org/news-events/3gpp-news/6g-38914；TS 28.105：https://www.etsi.org/deliver/etsi_ts/128100_128199/128105/18.04.00_60/ts_128105v180400p.pdf</w:t>
      </w:r>
    </w:p>
    <w:p>
      <w:pPr>
        <w:keepNext/>
        <w:spacing w:line="480" w:lineRule="exact" w:before="160" w:after="40"/>
      </w:pPr>
      <w:r>
        <w:rPr>
          <w:rFonts w:ascii="FandolHei" w:hAnsi="FandolHei" w:eastAsia="FandolHei"/>
          <w:b/>
          <w:sz w:val="24"/>
        </w:rPr>
        <w:t>九、本申请的侵权证据可获得性</w:t>
      </w:r>
    </w:p>
    <w:p>
      <w:pPr>
        <w:spacing w:line="480" w:lineRule="exact" w:before="0" w:after="0"/>
        <w:ind w:firstLine="480"/>
      </w:pPr>
      <w:r>
        <w:rPr>
          <w:rFonts w:ascii="FandolFang" w:hAnsi="FandolFang" w:eastAsia="FandolFang"/>
          <w:b w:val="0"/>
          <w:sz w:val="24"/>
        </w:rPr>
        <w:t>可通过设备日志、接口抓包、配置文件及版本记录核验观测时间字段、上下文依赖清单、生成/失效时刻、序号和配置版本；以延迟、乱序及配置变更测试，观察系统是否拒绝无效上下文或迟到命令。通过控制标识、执行回执和观测记录可检查残差是否只关联实际动作。部分缓冲区内部状态和模型计算可能需被诉方日志、技术调查或司法鉴定取得，外部抓包未必能单独证明全部特征。</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andolFang" w:hAnsi="FandolFang" w:eastAsia="FandolFang"/>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