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
        <w:rPr>
          <w:b/>
        </w:rPr>
        <w:t>发明专利技术交底书</w:t>
      </w:r>
      <w:r>
        <w:br/>
      </w:r>
      <w:r>
        <w:t>一种多模态多速率无线网络世界模型控制方法</w:t>
      </w:r>
    </w:p>
    <w:p>
      <w:pPr>
        <w:pStyle w:val="Author"/>
      </w:pPr>
      <w:r>
        <w:t>中国移动通信有限公司研究院</w:t>
      </w:r>
    </w:p>
    <w:p>
      <w:pPr>
        <w:pStyle w:val="Date"/>
      </w:pPr>
      <w:r>
        <w:t>2026-10-16</w:t>
      </w:r>
    </w:p>
    <w:p>
      <w:pPr>
        <w:spacing w:before="300" w:after="120"/>
      </w:pPr>
      <w:r>
        <w:rPr>
          <w:b/>
        </w:rPr>
        <w:t>目录</w:t>
      </w:r>
    </w:p>
    <w:p>
      <w:pPr>
        <w:tabs>
          <w:tab w:pos="7920" w:val="right" w:leader="dot"/>
        </w:tabs>
        <w:spacing w:before="0" w:after="40" w:line="240" w:lineRule="auto"/>
      </w:pPr>
      <w:r>
        <w:rPr>
          <w:sz w:val="22"/>
        </w:rPr>
        <w:t>发明名称</w:t>
        <w:tab/>
        <w:t>2</w:t>
      </w:r>
    </w:p>
    <w:p>
      <w:pPr>
        <w:tabs>
          <w:tab w:pos="7920" w:val="right" w:leader="dot"/>
        </w:tabs>
        <w:spacing w:before="0" w:after="40" w:line="240" w:lineRule="auto"/>
      </w:pPr>
      <w:r>
        <w:rPr>
          <w:sz w:val="22"/>
        </w:rPr>
        <w:t>申请人信息</w:t>
        <w:tab/>
        <w:t>2</w:t>
      </w:r>
    </w:p>
    <w:p>
      <w:pPr>
        <w:tabs>
          <w:tab w:pos="7920" w:val="right" w:leader="dot"/>
        </w:tabs>
        <w:spacing w:before="0" w:after="40" w:line="240" w:lineRule="auto"/>
      </w:pPr>
      <w:r>
        <w:rPr>
          <w:sz w:val="22"/>
        </w:rPr>
        <w:t>发明人信息</w:t>
        <w:tab/>
        <w:t>2</w:t>
      </w:r>
    </w:p>
    <w:p>
      <w:pPr>
        <w:tabs>
          <w:tab w:pos="7920" w:val="right" w:leader="dot"/>
        </w:tabs>
        <w:spacing w:before="0" w:after="40" w:line="240" w:lineRule="auto"/>
      </w:pPr>
      <w:r>
        <w:rPr>
          <w:sz w:val="22"/>
        </w:rPr>
        <w:t>技术领域</w:t>
        <w:tab/>
        <w:t>3</w:t>
      </w:r>
    </w:p>
    <w:p>
      <w:pPr>
        <w:tabs>
          <w:tab w:pos="7920" w:val="right" w:leader="dot"/>
        </w:tabs>
        <w:spacing w:before="0" w:after="40" w:line="240" w:lineRule="auto"/>
      </w:pPr>
      <w:r>
        <w:rPr>
          <w:sz w:val="22"/>
        </w:rPr>
        <w:t>背景技术</w:t>
        <w:tab/>
        <w:t>3</w:t>
      </w:r>
    </w:p>
    <w:p>
      <w:pPr>
        <w:tabs>
          <w:tab w:pos="7920" w:val="right" w:leader="dot"/>
        </w:tabs>
        <w:spacing w:before="0" w:after="40" w:line="240" w:lineRule="auto"/>
      </w:pPr>
      <w:r>
        <w:rPr>
          <w:sz w:val="22"/>
        </w:rPr>
        <w:t>发明内容</w:t>
        <w:tab/>
        <w:t>4</w:t>
      </w:r>
    </w:p>
    <w:p>
      <w:pPr>
        <w:tabs>
          <w:tab w:pos="7920" w:val="right" w:leader="dot"/>
        </w:tabs>
        <w:spacing w:before="0" w:after="40" w:line="240" w:lineRule="auto"/>
      </w:pPr>
      <w:r>
        <w:rPr>
          <w:sz w:val="22"/>
        </w:rPr>
        <w:t>附图说明</w:t>
        <w:tab/>
        <w:t>6</w:t>
      </w:r>
    </w:p>
    <w:p>
      <w:pPr>
        <w:tabs>
          <w:tab w:pos="7920" w:val="right" w:leader="dot"/>
        </w:tabs>
        <w:spacing w:before="0" w:after="40" w:line="240" w:lineRule="auto"/>
      </w:pPr>
      <w:r>
        <w:rPr>
          <w:sz w:val="22"/>
        </w:rPr>
        <w:t>具体实施方式</w:t>
        <w:tab/>
        <w:t>7</w:t>
      </w:r>
    </w:p>
    <w:p>
      <w:pPr>
        <w:tabs>
          <w:tab w:pos="7920" w:val="right" w:leader="dot"/>
        </w:tabs>
        <w:spacing w:before="0" w:after="40" w:line="240" w:lineRule="auto"/>
      </w:pPr>
      <w:r>
        <w:rPr>
          <w:sz w:val="22"/>
        </w:rPr>
        <w:t>技术效果</w:t>
        <w:tab/>
        <w:t>8</w:t>
      </w:r>
    </w:p>
    <w:p>
      <w:pPr>
        <w:tabs>
          <w:tab w:pos="7920" w:val="right" w:leader="dot"/>
        </w:tabs>
        <w:spacing w:before="0" w:after="40" w:line="240" w:lineRule="auto"/>
      </w:pPr>
      <w:r>
        <w:rPr>
          <w:sz w:val="22"/>
        </w:rPr>
        <w:t>权利要求书</w:t>
        <w:tab/>
        <w:t>9</w:t>
      </w:r>
    </w:p>
    <w:p>
      <w:pPr>
        <w:tabs>
          <w:tab w:pos="7920" w:val="right" w:leader="dot"/>
        </w:tabs>
        <w:spacing w:before="0" w:after="40" w:line="240" w:lineRule="auto"/>
      </w:pPr>
      <w:r>
        <w:rPr>
          <w:sz w:val="22"/>
        </w:rPr>
        <w:t>说明书摘要</w:t>
        <w:tab/>
        <w:t>10</w:t>
      </w:r>
    </w:p>
    <w:p>
      <w:r>
        <w:br w:type="page"/>
      </w:r>
    </w:p>
    <w:p>
      <w:pPr>
        <w:pStyle w:val="Heading1"/>
      </w:pPr>
      <w:r>
        <w:t>发明名称</w:t>
      </w:r>
    </w:p>
    <w:p>
      <w:pPr>
        <w:pStyle w:val="FirstParagraph"/>
      </w:pPr>
      <w:r>
        <w:t>一种多模态多速率无线网络世界模型控制方法。</w:t>
      </w:r>
    </w:p>
    <w:p>
      <w:pPr>
        <w:pStyle w:val="BodyText"/>
      </w:pPr>
      <w:r>
        <w:t>英文名称：Multimodal Multi Rate Wireless Network World Model Control Method。</w:t>
      </w:r>
    </w:p>
    <w:p>
      <w:pPr>
        <w:pStyle w:val="Heading1"/>
      </w:pPr>
      <w:r>
        <w:t>申请人信息</w:t>
      </w:r>
    </w:p>
    <w:tbl>
      <w:tblPr>
        <w:tblStyle w:val="Table"/>
        <w:tblW w:type="dxa" w:w="7920"/>
        <w:tblLook w:firstRow="1" w:lastRow="0" w:firstColumn="0" w:lastColumn="0" w:noHBand="0" w:noVBand="0" w:val="0020"/>
        <w:tblLayout w:type="fixed"/>
      </w:tblPr>
      <w:tblGrid>
        <w:gridCol w:w="3960"/>
        <w:gridCol w:w="3960"/>
      </w:tblGrid>
      <w:tr>
        <w:trPr>
          <w:tblHeader w:val="on"/>
          <w:cantSplit/>
        </w:trPr>
        <w:tc>
          <w:tcPr>
            <w:tcW w:type="dxa" w:w="3960"/>
          </w:tcPr>
          <w:p>
            <w:pPr>
              <w:pStyle w:val="Compact"/>
              <w:jc w:val="left"/>
            </w:pPr>
            <w:r>
              <w:rPr>
                <w:rFonts w:hint="eastAsia"/>
                <w:b/>
                <w:bCs/>
              </w:rPr>
              <w:t>字段</w:t>
            </w:r>
          </w:p>
        </w:tc>
        <w:tc>
          <w:tcPr>
            <w:tcW w:type="dxa" w:w="3960"/>
          </w:tcPr>
          <w:p>
            <w:pPr>
              <w:pStyle w:val="Compact"/>
              <w:jc w:val="left"/>
            </w:pPr>
            <w:r>
              <w:rPr>
                <w:rFonts w:hint="eastAsia"/>
                <w:b/>
                <w:bCs/>
              </w:rPr>
              <w:t>内容</w:t>
            </w:r>
          </w:p>
        </w:tc>
      </w:tr>
      <w:tr>
        <w:trPr>
          <w:cantSplit/>
        </w:trPr>
        <w:tc>
          <w:tcPr>
            <w:tcW w:type="dxa" w:w="3960"/>
          </w:tcPr>
          <w:p>
            <w:pPr>
              <w:pStyle w:val="Compact"/>
              <w:jc w:val="left"/>
            </w:pPr>
            <w:r>
              <w:rPr>
                <w:rFonts w:hint="eastAsia"/>
              </w:rPr>
              <w:t>拟申请人名称</w:t>
            </w:r>
          </w:p>
        </w:tc>
        <w:tc>
          <w:tcPr>
            <w:tcW w:type="dxa" w:w="3960"/>
          </w:tcPr>
          <w:p>
            <w:pPr>
              <w:pStyle w:val="Compact"/>
              <w:jc w:val="left"/>
            </w:pPr>
            <w:r>
              <w:rPr>
                <w:rFonts w:hint="eastAsia"/>
              </w:rPr>
              <w:t>中国移动通信有限公司研究院</w:t>
            </w:r>
          </w:p>
        </w:tc>
      </w:tr>
      <w:tr>
        <w:trPr>
          <w:cantSplit/>
        </w:trPr>
        <w:tc>
          <w:tcPr>
            <w:tcW w:type="dxa" w:w="3960"/>
          </w:tcPr>
          <w:p>
            <w:pPr>
              <w:pStyle w:val="Compact"/>
              <w:jc w:val="left"/>
            </w:pPr>
            <w:r>
              <w:rPr>
                <w:rFonts w:hint="eastAsia"/>
              </w:rPr>
              <w:t>申请人类型</w:t>
            </w:r>
          </w:p>
        </w:tc>
        <w:tc>
          <w:tcPr>
            <w:tcW w:type="dxa" w:w="3960"/>
          </w:tcPr>
          <w:p>
            <w:pPr>
              <w:pStyle w:val="Compact"/>
              <w:jc w:val="left"/>
            </w:pPr>
            <w:r>
              <w:rPr>
                <w:rFonts w:hint="eastAsia"/>
              </w:rPr>
              <w:t>院内核定</w:t>
            </w:r>
          </w:p>
        </w:tc>
      </w:tr>
      <w:tr>
        <w:trPr>
          <w:cantSplit/>
        </w:trPr>
        <w:tc>
          <w:tcPr>
            <w:tcW w:type="dxa" w:w="3960"/>
          </w:tcPr>
          <w:p>
            <w:pPr>
              <w:pStyle w:val="Compact"/>
              <w:jc w:val="left"/>
            </w:pPr>
            <w:r>
              <w:rPr>
                <w:rFonts w:hint="eastAsia"/>
              </w:rPr>
              <w:t>国籍或注册地</w:t>
            </w:r>
          </w:p>
        </w:tc>
        <w:tc>
          <w:tcPr>
            <w:tcW w:type="dxa" w:w="3960"/>
          </w:tcPr>
          <w:p>
            <w:pPr>
              <w:pStyle w:val="Compact"/>
              <w:jc w:val="left"/>
            </w:pPr>
            <w:r>
              <w:rPr>
                <w:rFonts w:hint="eastAsia"/>
              </w:rPr>
              <w:t>院内核定</w:t>
            </w:r>
          </w:p>
        </w:tc>
      </w:tr>
      <w:tr>
        <w:trPr>
          <w:cantSplit/>
        </w:trPr>
        <w:tc>
          <w:tcPr>
            <w:tcW w:type="dxa" w:w="3960"/>
          </w:tcPr>
          <w:p>
            <w:pPr>
              <w:pStyle w:val="Compact"/>
              <w:jc w:val="left"/>
            </w:pPr>
            <w:r>
              <w:rPr>
                <w:rFonts w:hint="eastAsia"/>
              </w:rPr>
              <w:t>统一社会信用代码</w:t>
            </w:r>
          </w:p>
        </w:tc>
        <w:tc>
          <w:tcPr>
            <w:tcW w:type="dxa" w:w="3960"/>
          </w:tcPr>
          <w:p>
            <w:pPr>
              <w:pStyle w:val="Compact"/>
              <w:jc w:val="left"/>
            </w:pPr>
            <w:r>
              <w:rPr>
                <w:rFonts w:hint="eastAsia"/>
              </w:rPr>
              <w:t>院内填写</w:t>
            </w:r>
          </w:p>
        </w:tc>
      </w:tr>
      <w:tr>
        <w:trPr>
          <w:cantSplit/>
        </w:trPr>
        <w:tc>
          <w:tcPr>
            <w:tcW w:type="dxa" w:w="3960"/>
          </w:tcPr>
          <w:p>
            <w:pPr>
              <w:pStyle w:val="Compact"/>
              <w:jc w:val="left"/>
            </w:pPr>
            <w:r>
              <w:rPr>
                <w:rFonts w:hint="eastAsia"/>
              </w:rPr>
              <w:t>通讯地址</w:t>
            </w:r>
          </w:p>
        </w:tc>
        <w:tc>
          <w:tcPr>
            <w:tcW w:type="dxa" w:w="3960"/>
          </w:tcPr>
          <w:p>
            <w:pPr>
              <w:pStyle w:val="Compact"/>
              <w:jc w:val="left"/>
            </w:pPr>
            <w:r>
              <w:rPr>
                <w:rFonts w:hint="eastAsia"/>
              </w:rPr>
              <w:t>院内填写</w:t>
            </w:r>
          </w:p>
        </w:tc>
      </w:tr>
      <w:tr>
        <w:trPr>
          <w:cantSplit/>
        </w:trPr>
        <w:tc>
          <w:tcPr>
            <w:tcW w:type="dxa" w:w="3960"/>
          </w:tcPr>
          <w:p>
            <w:pPr>
              <w:pStyle w:val="Compact"/>
              <w:jc w:val="left"/>
            </w:pPr>
            <w:r>
              <w:rPr>
                <w:rFonts w:hint="eastAsia"/>
              </w:rPr>
              <w:t>邮政编码</w:t>
            </w:r>
          </w:p>
        </w:tc>
        <w:tc>
          <w:tcPr>
            <w:tcW w:type="dxa" w:w="3960"/>
          </w:tcPr>
          <w:p>
            <w:pPr>
              <w:pStyle w:val="Compact"/>
              <w:jc w:val="left"/>
            </w:pPr>
            <w:r>
              <w:rPr>
                <w:rFonts w:hint="eastAsia"/>
              </w:rPr>
              <w:t>院内填写</w:t>
            </w:r>
          </w:p>
        </w:tc>
      </w:tr>
      <w:tr>
        <w:trPr>
          <w:cantSplit/>
        </w:trPr>
        <w:tc>
          <w:tcPr>
            <w:tcW w:type="dxa" w:w="3960"/>
          </w:tcPr>
          <w:p>
            <w:pPr>
              <w:pStyle w:val="Compact"/>
              <w:jc w:val="left"/>
            </w:pPr>
            <w:r>
              <w:rPr>
                <w:rFonts w:hint="eastAsia"/>
              </w:rPr>
              <w:t>联系电话</w:t>
            </w:r>
          </w:p>
        </w:tc>
        <w:tc>
          <w:tcPr>
            <w:tcW w:type="dxa" w:w="3960"/>
          </w:tcPr>
          <w:p>
            <w:pPr>
              <w:pStyle w:val="Compact"/>
              <w:jc w:val="left"/>
            </w:pPr>
            <w:r>
              <w:rPr>
                <w:rFonts w:hint="eastAsia"/>
              </w:rPr>
              <w:t>院内填写</w:t>
            </w:r>
          </w:p>
        </w:tc>
      </w:tr>
      <w:tr>
        <w:trPr>
          <w:cantSplit/>
        </w:trPr>
        <w:tc>
          <w:tcPr>
            <w:tcW w:type="dxa" w:w="3960"/>
          </w:tcPr>
          <w:p>
            <w:pPr>
              <w:pStyle w:val="Compact"/>
              <w:jc w:val="left"/>
            </w:pPr>
            <w:r>
              <w:rPr>
                <w:rFonts w:hint="eastAsia"/>
              </w:rPr>
              <w:t>电子邮箱</w:t>
            </w:r>
          </w:p>
        </w:tc>
        <w:tc>
          <w:tcPr>
            <w:tcW w:type="dxa" w:w="3960"/>
          </w:tcPr>
          <w:p>
            <w:pPr>
              <w:pStyle w:val="Compact"/>
              <w:jc w:val="left"/>
            </w:pPr>
            <w:r>
              <w:rPr>
                <w:rFonts w:hint="eastAsia"/>
              </w:rPr>
              <w:t>院内填写</w:t>
            </w:r>
          </w:p>
        </w:tc>
      </w:tr>
    </w:tbl>
    <w:p>
      <w:pPr>
        <w:pStyle w:val="BodyText"/>
      </w:pPr>
      <w:r>
        <w:t>申请主体及职务发明归属由院内核定。</w:t>
      </w:r>
    </w:p>
    <w:p>
      <w:pPr>
        <w:pStyle w:val="Heading1"/>
      </w:pPr>
      <w:r>
        <w:t>发明人信息</w:t>
      </w:r>
    </w:p>
    <w:p>
      <w:pPr>
        <w:pStyle w:val="Heading2"/>
      </w:pPr>
      <w:r>
        <w:t>第一发明人</w:t>
      </w:r>
    </w:p>
    <w:tbl>
      <w:tblPr>
        <w:tblStyle w:val="Table"/>
        <w:tblW w:type="dxa" w:w="7920"/>
        <w:tblLook w:firstRow="1" w:lastRow="0" w:firstColumn="0" w:lastColumn="0" w:noHBand="0" w:noVBand="0" w:val="0020"/>
        <w:tblLayout w:type="fixed"/>
      </w:tblPr>
      <w:tblGrid>
        <w:gridCol w:w="3960"/>
        <w:gridCol w:w="3960"/>
      </w:tblGrid>
      <w:tr>
        <w:trPr>
          <w:tblHeader w:val="on"/>
          <w:cantSplit/>
        </w:trPr>
        <w:tc>
          <w:tcPr>
            <w:tcW w:type="dxa" w:w="3960"/>
          </w:tcPr>
          <w:p>
            <w:pPr>
              <w:pStyle w:val="Compact"/>
              <w:jc w:val="left"/>
            </w:pPr>
            <w:r>
              <w:rPr>
                <w:rFonts w:hint="eastAsia"/>
                <w:b/>
                <w:bCs/>
              </w:rPr>
              <w:t>字段</w:t>
            </w:r>
          </w:p>
        </w:tc>
        <w:tc>
          <w:tcPr>
            <w:tcW w:type="dxa" w:w="3960"/>
          </w:tcPr>
          <w:p>
            <w:pPr>
              <w:pStyle w:val="Compact"/>
              <w:jc w:val="left"/>
            </w:pPr>
            <w:r>
              <w:rPr>
                <w:rFonts w:hint="eastAsia"/>
                <w:b/>
                <w:bCs/>
              </w:rPr>
              <w:t>内容</w:t>
            </w:r>
          </w:p>
        </w:tc>
      </w:tr>
      <w:tr>
        <w:trPr>
          <w:cantSplit/>
        </w:trPr>
        <w:tc>
          <w:tcPr>
            <w:tcW w:type="dxa" w:w="3960"/>
          </w:tcPr>
          <w:p>
            <w:pPr>
              <w:pStyle w:val="Compact"/>
              <w:jc w:val="left"/>
            </w:pPr>
            <w:r>
              <w:rPr>
                <w:rFonts w:hint="eastAsia"/>
              </w:rPr>
              <w:t>姓名</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国籍</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工作单位</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职务或职称</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通讯地址</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邮政编码</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联系电话</w:t>
            </w:r>
          </w:p>
        </w:tc>
        <w:tc>
          <w:tcPr>
            <w:tcW w:type="dxa" w:w="3960"/>
          </w:tcPr>
          <w:p>
            <w:pPr>
              <w:pStyle w:val="Compact"/>
              <w:jc w:val="left"/>
            </w:pPr>
            <w:r>
              <w:rPr>
                <w:rFonts w:hint="eastAsia"/>
              </w:rPr>
            </w:r>
          </w:p>
        </w:tc>
      </w:tr>
      <w:tr>
        <w:trPr>
          <w:cantSplit/>
        </w:trPr>
        <w:tc>
          <w:tcPr>
            <w:tcW w:type="dxa" w:w="3960"/>
          </w:tcPr>
          <w:p>
            <w:pPr>
              <w:pStyle w:val="Compact"/>
              <w:jc w:val="left"/>
            </w:pPr>
            <w:r>
              <w:rPr>
                <w:rFonts w:hint="eastAsia"/>
              </w:rPr>
              <w:t>电子邮箱</w:t>
            </w:r>
          </w:p>
        </w:tc>
        <w:tc>
          <w:tcPr>
            <w:tcW w:type="dxa" w:w="3960"/>
          </w:tcPr>
          <w:p>
            <w:pPr>
              <w:pStyle w:val="Compact"/>
              <w:jc w:val="left"/>
            </w:pPr>
            <w:r>
              <w:rPr>
                <w:rFonts w:hint="eastAsia"/>
              </w:rPr>
            </w:r>
          </w:p>
        </w:tc>
      </w:tr>
    </w:tbl>
    <w:p>
      <w:pPr>
        <w:pStyle w:val="BodyText"/>
      </w:pPr>
      <w:r>
        <w:t>其他发明人：________________。发明人及排序按实际创造性贡献确认。</w:t>
      </w:r>
    </w:p>
    <w:p>
      <w:pPr>
        <w:pStyle w:val="Heading1"/>
      </w:pPr>
      <w:r>
        <w:t>技术领域</w:t>
      </w:r>
    </w:p>
    <w:p>
      <w:pPr>
        <w:pStyle w:val="FirstParagraph"/>
      </w:pPr>
      <w:r>
        <w:t>本发明涉及无线通信网络控制、人工智能和动态系统建模，尤其涉及将多模态网络观测接入预训练语言模型，在不同执行速率下预测候选资源配置的网络状态，并将运营偏好与物理状态转移分离的计算机实现方法。适用于5G及6G无线接入网的功率配置、资源分配和策略仿真。</w:t>
      </w:r>
    </w:p>
    <w:p>
      <w:pPr>
        <w:pStyle w:val="Heading1"/>
      </w:pPr>
      <w:r>
        <w:t>背景技术</w:t>
      </w:r>
    </w:p>
    <w:p>
      <w:pPr>
        <w:pStyle w:val="Heading2"/>
      </w:pPr>
      <w:r>
        <w:t>现有技术的局限性</w:t>
      </w:r>
    </w:p>
    <w:p>
      <w:pPr>
        <w:pStyle w:val="FirstParagraph"/>
      </w:pPr>
      <w:r>
        <w:t>无线网络数字孪生、动作条件世界模型、多模态语言模型及快慢控制均已有公开。CN120935780A公开语言模型调度与周期性反思；WO2026071644A1公开融合多域数据的网络数字孪生配置推荐；论文Telecom World Models已提出基础模型意图层与动力学层。单独使用上述概念不足以体现本案区别，详见配套检索报告。</w:t>
      </w:r>
    </w:p>
    <w:p>
      <w:pPr>
        <w:pStyle w:val="Heading2"/>
      </w:pPr>
      <w:r>
        <w:t>多模态观测与不同执行速率问题</w:t>
      </w:r>
    </w:p>
    <w:p>
      <w:pPr>
        <w:pStyle w:val="FirstParagraph"/>
      </w:pPr>
      <w:r>
        <w:t>信道状态信息CSI、同相正交IQ采样、业务指标及拓扑具有不同采样周期和时效性。将连续观测全部转成文本会增加表示长度；每个快步重复调用语言主干会重复处理相同慢变上下文。需要在保留连续值和观测时间信息的同时，用可缓存的慢层输出驱动多个快步。</w:t>
      </w:r>
    </w:p>
    <w:p>
      <w:pPr>
        <w:pStyle w:val="Heading2"/>
      </w:pPr>
      <w:r>
        <w:t>运营偏好与物理状态预测的区分</w:t>
      </w:r>
    </w:p>
    <w:p>
      <w:pPr>
        <w:pStyle w:val="FirstParagraph"/>
      </w:pPr>
      <w:r>
        <w:t>“优先节能”是评价动作的偏好，不代表信道或负载已改变。若偏好直接进入动力学预测，模型可能仅因目标文字变化而预测不同信道和队列。实际配置变化应通过动作或已观测的外生条件进入。两类信息须在计算路径上分开，并在动作评分时汇合。</w:t>
      </w:r>
    </w:p>
    <w:p>
      <w:pPr>
        <w:pStyle w:val="Heading1"/>
      </w:pPr>
      <w:r>
        <w:t>发明内容</w:t>
      </w:r>
    </w:p>
    <w:p>
      <w:pPr>
        <w:pStyle w:val="Heading2"/>
      </w:pPr>
      <w:r>
        <w:t>发明目的</w:t>
      </w:r>
    </w:p>
    <w:p>
      <w:pPr>
        <w:pStyle w:val="FirstParagraph"/>
      </w:pPr>
      <w:r>
        <w:t>本发明通过共享语言主干的两个输入视图、慢层调制参数包和窗口内快层递推，降低重复主干调用，并约束偏好信息进入物理预测的路径。预测轨迹用于比较候选无线资源配置；是否满足实际控制时限由目标设备实测确定。</w:t>
      </w:r>
    </w:p>
    <w:p>
      <w:pPr>
        <w:pStyle w:val="Heading2"/>
      </w:pPr>
      <w:r>
        <w:t>技术方案</w:t>
      </w:r>
    </w:p>
    <w:p>
      <w:pPr>
        <w:pStyle w:val="FirstParagraph"/>
      </w:pPr>
      <w:r>
        <w:t>定义快步间隔为Δt，每K个快步形成一个慢窗口，慢层更新间隔ΔT=KΔt；各观测模态另有采样周期ρ。系统包括多模态编码器、共享预训练语言主干、物理投影与偏好目标头、调制参数生成器、快层循环预测器、窗口摘要器及候选配置评价器。</w:t>
      </w:r>
    </w:p>
    <w:p>
      <w:pPr>
        <w:pStyle w:val="Heading3"/>
      </w:pPr>
      <w:r>
        <w:t>技术特征 A 多模态连续编码与时间有效性处理</w:t>
      </w:r>
    </w:p>
    <w:p>
      <w:pPr>
        <w:pStyle w:val="FirstParagraph"/>
      </w:pPr>
      <w:r>
        <w:t>对每个模态提供连续特征x、相对当前慢层更新时间的观测年龄δ、采样周期ρ和有效掩码v。CSI及IQ使用实部和虚部特征，拓扑使用节点特征与可选邻接矩阵。编码器按模态分别投影并加入模态标识、log1p年龄和周期嵌入；无效观测置零且在注意力中屏蔽。拒绝有效数据中的非有限值、负年龄及非正周期。图数据可在有效节点之间作一次行归一化消息传递；缺少整个模态时省略其令牌。</w:t>
      </w:r>
    </w:p>
    <w:p>
      <w:pPr>
        <w:pStyle w:val="Heading3"/>
      </w:pPr>
      <w:r>
        <w:t>技术特征 B 共享语言主干的物理视图与语义视图</w:t>
      </w:r>
    </w:p>
    <w:p>
      <w:pPr>
        <w:pStyle w:val="FirstParagraph"/>
      </w:pPr>
      <w:r>
        <w:t>同一组语言主干参数执行两个独立前向过程。物理视图仅含当前状态、外生条件、上一窗口摘要、多模态观测及调用方提供的外生证据，附加物理查询令牌并读取其隐藏向量；语义视图在共同观测后附加偏好令牌，读取最后一个有效偏好位置并输出吞吐量、队列和能耗三个目标的归一化权重。物理前向不接收偏好令牌、其隐藏状态或语义视图缓存。外生证据与偏好由调用方分字段提供，接口不自动判别文本内容的真实性。</w:t>
      </w:r>
    </w:p>
    <w:p>
      <w:pPr>
        <w:pStyle w:val="Heading3"/>
      </w:pPr>
      <w:r>
        <w:t>技术特征 C 由物理上下文生成窗口调制参数包</w:t>
      </w:r>
    </w:p>
    <w:p>
      <w:pPr>
        <w:pStyle w:val="FirstParagraph"/>
      </w:pPr>
      <w:r>
        <w:t>物理向量经投影和循环物理算子后，生成γ、β以及低秩矩阵A、B。设快层宽度为d、秩为r，则γ、β为d维，A、B均为d乘r；以1+0.1tanh和0.1tanh分别限制缩放及其余参数幅度。参数包含外生条件，在一个窗口的K个快步内缓存复用。目标权重只供评分，快层不读取该字段。这里的低秩项是输入相关的特征残差，不改写语言主干权重。</w:t>
      </w:r>
    </w:p>
    <w:p>
      <w:pPr>
        <w:pStyle w:val="Heading3"/>
      </w:pPr>
      <w:r>
        <w:t>技术特征 D 使用缓存参数包的动作条件递推</w:t>
      </w:r>
    </w:p>
    <w:p>
      <w:pPr>
        <w:pStyle w:val="FirstParagraph"/>
      </w:pPr>
      <w:r>
        <w:t>每步输入当前预测状态s、候选动作a及外生条件c。先投影并调制输入u，再用显式记忆m执行门控循环运算G，输出下一状态；仅记忆m和预测状态逐步推进，窗口内不调用语言主干。</w:t>
      </w:r>
    </w:p>
    <w:p>
      <w:pPr>
        <w:pStyle w:val="FirstParagraph"/>
        <w:jc w:val="center"/>
      </w:pPr>
      <w:r/>
      <m:oMathPara>
        <m:oMath>
          <m:sSub>
            <m:e>
              <m:r>
                <m:t>u</m:t>
              </m:r>
            </m:e>
            <m:sub>
              <m:r>
                <m:t>t</m:t>
              </m:r>
            </m:sub>
          </m:sSub>
          <m:r>
            <m:t> = γ ⊙ SiLU(</m:t>
          </m:r>
          <m:sSub>
            <m:e>
              <m:r>
                <m:t>W</m:t>
              </m:r>
            </m:e>
            <m:sub>
              <m:r>
                <m:t>x</m:t>
              </m:r>
            </m:sub>
          </m:sSub>
          <m:r>
            <m:t>[</m:t>
          </m:r>
          <m:sSub>
            <m:e>
              <m:r>
                <m:t>s</m:t>
              </m:r>
            </m:e>
            <m:sub>
              <m:r>
                <m:t>t</m:t>
              </m:r>
            </m:sub>
          </m:sSub>
          <m:r>
            <m:t>; </m:t>
          </m:r>
          <m:sSub>
            <m:e>
              <m:r>
                <m:t>a</m:t>
              </m:r>
            </m:e>
            <m:sub>
              <m:r>
                <m:t>t</m:t>
              </m:r>
            </m:sub>
          </m:sSub>
          <m:r>
            <m:t>; c] + </m:t>
          </m:r>
          <m:sSub>
            <m:e>
              <m:r>
                <m:t>b</m:t>
              </m:r>
            </m:e>
            <m:sub>
              <m:r>
                <m:t>x</m:t>
              </m:r>
            </m:sub>
          </m:sSub>
          <m:r>
            <m:t>) + β</m:t>
          </m:r>
        </m:oMath>
      </m:oMathPara>
    </w:p>
    <w:p>
      <w:pPr>
        <w:pStyle w:val="FirstParagraph"/>
        <w:jc w:val="center"/>
      </w:pPr>
      <w:r/>
      <m:oMathPara>
        <m:oMath>
          <m:sSub>
            <m:e>
              <m:r>
                <m:t>y</m:t>
              </m:r>
            </m:e>
            <m:sub>
              <m:r>
                <m:t>t</m:t>
              </m:r>
            </m:sub>
          </m:sSub>
          <m:r>
            <m:t> = </m:t>
          </m:r>
          <m:sSub>
            <m:e>
              <m:r>
                <m:t>G</m:t>
              </m:r>
            </m:e>
            <m:sub>
              <m:r>
                <m:t>θ</m:t>
              </m:r>
            </m:sub>
          </m:sSub>
          <m:r>
            <m:t>(</m:t>
          </m:r>
          <m:sSub>
            <m:e>
              <m:r>
                <m:t>u</m:t>
              </m:r>
            </m:e>
            <m:sub>
              <m:r>
                <m:t>t</m:t>
              </m:r>
            </m:sub>
          </m:sSub>
          <m:r>
            <m:t>, </m:t>
          </m:r>
          <m:sSub>
            <m:e>
              <m:r>
                <m:t>m</m:t>
              </m:r>
            </m:e>
            <m:sub>
              <m:r>
                <m:t>t</m:t>
              </m:r>
            </m:sub>
          </m:sSub>
          <m:r>
            <m:t>) + </m:t>
          </m:r>
          <m:f>
            <m:num>
              <m:r>
                <m:t>Norm(</m:t>
              </m:r>
              <m:sSub>
                <m:e>
                  <m:r>
                    <m:t>u</m:t>
                  </m:r>
                </m:e>
                <m:sub>
                  <m:r>
                    <m:t>t</m:t>
                  </m:r>
                </m:sub>
              </m:sSub>
              <m:r>
                <m:t>) A </m:t>
              </m:r>
              <m:sSup>
                <m:e>
                  <m:r>
                    <m:t>B</m:t>
                  </m:r>
                </m:e>
                <m:sup>
                  <m:r>
                    <m:t>T</m:t>
                  </m:r>
                </m:sup>
              </m:sSup>
            </m:num>
            <m:den>
              <m:rad>
                <m:radPr>
                  <m:degHide m:val="1"/>
                </m:radPr>
                <m:deg/>
                <m:e>
                  <m:r>
                    <m:t>r</m:t>
                  </m:r>
                </m:e>
              </m:rad>
            </m:den>
          </m:f>
        </m:oMath>
      </m:oMathPara>
    </w:p>
    <w:p>
      <w:pPr>
        <w:pStyle w:val="FirstParagraph"/>
        <w:jc w:val="center"/>
      </w:pPr>
      <w:r/>
      <m:oMathPara>
        <m:oMath>
          <m:sSub>
            <m:e>
              <m:r>
                <m:t>s</m:t>
              </m:r>
            </m:e>
            <m:sub>
              <m:r>
                <m:t>t+1</m:t>
              </m:r>
            </m:sub>
          </m:sSub>
          <m:r>
            <m:t> = </m:t>
          </m:r>
          <m:sSub>
            <m:e>
              <m:r>
                <m:t>s</m:t>
              </m:r>
            </m:e>
            <m:sub>
              <m:r>
                <m:t>t</m:t>
              </m:r>
            </m:sub>
          </m:sSub>
          <m:r>
            <m:t> + </m:t>
          </m:r>
          <m:sSub>
            <m:e>
              <m:r>
                <m:t>W</m:t>
              </m:r>
            </m:e>
            <m:sub>
              <m:r>
                <m:t>δ</m:t>
              </m:r>
            </m:sub>
          </m:sSub>
          <m:sSub>
            <m:e>
              <m:r>
                <m:t>y</m:t>
              </m:r>
            </m:e>
            <m:sub>
              <m:r>
                <m:t>t</m:t>
              </m:r>
            </m:sub>
          </m:sSub>
          <m:r>
            <m:t> + </m:t>
          </m:r>
          <m:sSub>
            <m:e>
              <m:r>
                <m:t>b</m:t>
              </m:r>
            </m:e>
            <m:sub>
              <m:r>
                <m:t>δ</m:t>
              </m:r>
            </m:sub>
          </m:sSub>
        </m:oMath>
      </m:oMathPara>
    </w:p>
    <w:p>
      <w:pPr>
        <w:pStyle w:val="BodyText"/>
      </w:pPr>
      <w:r>
        <w:t>G具体为：归一化u，线性映射获得输入分支与门控分支；输入分支经SiLU后生成sigmoid衰减系数q和tanh写入值z；更新m=q⊙m+(1−q)⊙z，将m线性读出后与门控分支相乘，线性投影并与u残差相加。低秩项按先乘A再乘B转置计算，无需形成d乘d矩阵。</w:t>
      </w:r>
    </w:p>
    <w:p>
      <w:pPr>
        <w:pStyle w:val="Heading3"/>
      </w:pPr>
      <w:r>
        <w:t>技术特征 E 窗口反馈与候选配置评价</w:t>
      </w:r>
    </w:p>
    <w:p>
      <w:pPr>
        <w:pStyle w:val="FirstParagraph"/>
      </w:pPr>
      <w:r>
        <w:t>将K个快步的隐藏输出按时间排列，利用卷积核长和步长均为K的一维卷积得到一个窗口摘要。下一窗口使用前一窗口终态及摘要重新生成参数包，保持自由递推连续性。预测阶段终态来自模型；在线部署时可由新实测状态校正。对满足已知硬配置边界的有限候选动作分别预测，以目标权重对预测指标评分并输出推荐动作；硬过滤只保证所检查的配置边界。</w:t>
      </w:r>
    </w:p>
    <w:p>
      <w:pPr>
        <w:pStyle w:val="Heading3"/>
      </w:pPr>
      <w:r>
        <w:t>技术特征 F 可选算子共享与跨尺度训练</w:t>
      </w:r>
    </w:p>
    <w:p>
      <w:pPr>
        <w:pStyle w:val="FirstParagraph"/>
      </w:pPr>
      <w:r>
        <w:t>慢层物理投影后的循环算子与快层G可引用同一参数对象。共享范围为该外围循环算子，语言Transformer内部层不作共享改造。可冻结语言主干权重，但保留经过主干到连续适配器的反向传播。训练使用状态预测损失和目标权重监督损失，跨多个窗口展开；可在固定快步间隔截断状态与记忆梯度。算子共享与是否截断慢快桥接梯度分别配置。</w:t>
      </w:r>
    </w:p>
    <w:p>
      <w:pPr>
        <w:pStyle w:val="Heading1"/>
      </w:pPr>
      <w:r>
        <w:t>附图说明</w:t>
      </w:r>
    </w:p>
    <w:p>
      <w:pPr>
        <w:pStyle w:val="FirstParagraph"/>
      </w:pPr>
      <w:r>
        <w:t>图1示出连续观测、共享语言主干双视图、缓存参数包及候选评分的数据流；图2示出两个连续窗口的状态和摘要推进；图3示出偏好干预时的物理不变路径与动作评分路径。</w:t>
      </w:r>
    </w:p>
    <w:p>
      <w:pPr>
        <w:pStyle w:val="CaptionedFigure"/>
        <w:keepNext/>
      </w:pPr>
      <w:r/>
      <w:r>
        <w:drawing>
          <wp:inline>
            <wp:extent cx="5029200" cy="1760220"/>
            <wp:docPr id="1" name="Picture 1" descr="图1 共享语言主干双视图与缓存快层的数据流"/>
            <wp:cNvGraphicFramePr>
              <a:graphicFrameLocks noChangeAspect="1"/>
            </wp:cNvGraphicFramePr>
            <a:graphic>
              <a:graphicData uri="http://schemas.openxmlformats.org/drawingml/2006/picture">
                <pic:pic>
                  <pic:nvPicPr>
                    <pic:cNvPr id="0" name="figure_1.png"/>
                    <pic:cNvPicPr/>
                  </pic:nvPicPr>
                  <pic:blipFill>
                    <a:blip r:embed="rId1"/>
                    <a:stretch>
                      <a:fillRect/>
                    </a:stretch>
                  </pic:blipFill>
                  <pic:spPr>
                    <a:xfrm>
                      <a:off x="0" y="0"/>
                      <a:ext cx="5029200" cy="1760220"/>
                    </a:xfrm>
                    <a:prstGeom prst="rect"/>
                  </pic:spPr>
                </pic:pic>
              </a:graphicData>
            </a:graphic>
          </wp:inline>
        </w:drawing>
      </w:r>
    </w:p>
    <w:p>
      <w:pPr>
        <w:pStyle w:val="ImageCaption"/>
        <w:keepNext w:val="0"/>
      </w:pPr>
      <w:r>
        <w:t>图1 共享语言主干双视图与缓存快层的数据流</w:t>
      </w:r>
    </w:p>
    <w:p>
      <w:pPr>
        <w:pStyle w:val="CaptionedFigure"/>
        <w:keepNext/>
      </w:pPr>
      <w:r/>
      <w:r>
        <w:drawing>
          <wp:inline>
            <wp:extent cx="5029200" cy="1201420"/>
            <wp:docPr id="2" name="Picture 2" descr="图2 连续窗口中的终态与摘要反馈"/>
            <wp:cNvGraphicFramePr>
              <a:graphicFrameLocks noChangeAspect="1"/>
            </wp:cNvGraphicFramePr>
            <a:graphic>
              <a:graphicData uri="http://schemas.openxmlformats.org/drawingml/2006/picture">
                <pic:pic>
                  <pic:nvPicPr>
                    <pic:cNvPr id="0" name="figure_2.png"/>
                    <pic:cNvPicPr/>
                  </pic:nvPicPr>
                  <pic:blipFill>
                    <a:blip r:embed="rId9"/>
                    <a:stretch>
                      <a:fillRect/>
                    </a:stretch>
                  </pic:blipFill>
                  <pic:spPr>
                    <a:xfrm>
                      <a:off x="0" y="0"/>
                      <a:ext cx="5029200" cy="1201420"/>
                    </a:xfrm>
                    <a:prstGeom prst="rect"/>
                  </pic:spPr>
                </pic:pic>
              </a:graphicData>
            </a:graphic>
          </wp:inline>
        </w:drawing>
      </w:r>
    </w:p>
    <w:p>
      <w:pPr>
        <w:pStyle w:val="ImageCaption"/>
        <w:keepNext w:val="0"/>
      </w:pPr>
      <w:r>
        <w:t>图2 连续窗口中的终态与摘要反馈</w:t>
      </w:r>
    </w:p>
    <w:p>
      <w:pPr>
        <w:pStyle w:val="CaptionedFigure"/>
        <w:keepNext/>
      </w:pPr>
      <w:r/>
      <w:r>
        <w:drawing>
          <wp:inline>
            <wp:extent cx="5029200" cy="1201420"/>
            <wp:docPr id="3" name="Picture 3" descr="图3 固定物理输入时的偏好干预与候选评分"/>
            <wp:cNvGraphicFramePr>
              <a:graphicFrameLocks noChangeAspect="1"/>
            </wp:cNvGraphicFramePr>
            <a:graphic>
              <a:graphicData uri="http://schemas.openxmlformats.org/drawingml/2006/picture">
                <pic:pic>
                  <pic:nvPicPr>
                    <pic:cNvPr id="0" name="figure_3.png"/>
                    <pic:cNvPicPr/>
                  </pic:nvPicPr>
                  <pic:blipFill>
                    <a:blip r:embed="rId10"/>
                    <a:stretch>
                      <a:fillRect/>
                    </a:stretch>
                  </pic:blipFill>
                  <pic:spPr>
                    <a:xfrm>
                      <a:off x="0" y="0"/>
                      <a:ext cx="5029200" cy="1201420"/>
                    </a:xfrm>
                    <a:prstGeom prst="rect"/>
                  </pic:spPr>
                </pic:pic>
              </a:graphicData>
            </a:graphic>
          </wp:inline>
        </w:drawing>
      </w:r>
    </w:p>
    <w:p>
      <w:pPr>
        <w:pStyle w:val="ImageCaption"/>
        <w:keepNext w:val="0"/>
      </w:pPr>
      <w:r>
        <w:t>图3 固定物理输入时的偏好干预与候选评分</w:t>
      </w:r>
    </w:p>
    <w:p>
      <w:pPr>
        <w:pStyle w:val="Heading1"/>
      </w:pPr>
      <w:r>
        <w:t>具体实施方式</w:t>
      </w:r>
    </w:p>
    <w:p>
      <w:pPr>
        <w:pStyle w:val="Heading2"/>
      </w:pPr>
      <w:r>
        <w:t>系统架构</w:t>
      </w:r>
    </w:p>
    <w:p>
      <w:pPr>
        <w:pStyle w:val="FirstParagraph"/>
      </w:pPr>
      <w:r>
        <w:t>代码对应src/mr_nwm中的modalities.py、foundation.py、model.py、experts.py及planning.py。复核版本为c22ec3c97919463878470ad131b4473e6cd1b25b。预训练语言路径实现多模态接入及双视图；轻量参考路径用于已提交的合成实验，两条路径的结果分别记录。</w:t>
      </w:r>
    </w:p>
    <w:p>
      <w:pPr>
        <w:pStyle w:val="Heading2"/>
      </w:pPr>
      <w:r>
        <w:t>实施步骤</w:t>
      </w:r>
    </w:p>
    <w:p>
      <w:pPr>
        <w:pStyle w:val="Heading3"/>
      </w:pPr>
      <w:r>
        <w:t>实施例 1 多模态接入与语言主干更新</w:t>
      </w:r>
    </w:p>
    <w:p>
      <w:pPr>
        <w:pStyle w:val="FirstParagraph"/>
      </w:pPr>
      <w:r>
        <w:t>注册csi、iq及topology的输入特征维数。采集观测、观测年龄和周期；复数先拆分实虚部，图邻接去除无效节点连接并归一化。将连续令牌与状态、外生条件和摘要投影拼接，输入同一预训练语言主干的两个独立前向。超出慢层令牌预算时由调用方先池化或重采样，接口拒绝超额输入。冻结主干时不使用全局无梯度包装，保证适配器可训练。</w:t>
      </w:r>
    </w:p>
    <w:p>
      <w:pPr>
        <w:pStyle w:val="Heading3"/>
      </w:pPr>
      <w:r>
        <w:t>实施例 2 连续两窗口的无线状态预测</w:t>
      </w:r>
    </w:p>
    <w:p>
      <w:pPr>
        <w:pStyle w:val="FirstParagraph"/>
      </w:pPr>
      <w:r>
        <w:t>取状态维数6、动作维数2、外生条件维数4、d=32、记忆维数16、r=2、K=5。六维状态依次为两链路增益、队列和干扰；动作是两链路归一化功率；外生条件为到达负载、交叉增益和移动性。首窗记忆为零，执行5步后以卷积压缩隐藏序列；以第5步预测终态和摘要启动第二窗，窗内记忆重新初始化。训练可每3步截断梯度。语言模型接入记录使用Qwen2.5-0.5B，已验证CSI、IQ及拓扑令牌接入、五步输出、冻结主干时的适配器梯度及偏好不变性；适配器和预测头尚未完成无线任务训练。</w:t>
      </w:r>
    </w:p>
    <w:p>
      <w:pPr>
        <w:pStyle w:val="Heading3"/>
      </w:pPr>
      <w:r>
        <w:t>实施例 3 偏好干预与有限候选动作审计</w:t>
      </w:r>
    </w:p>
    <w:p>
      <w:pPr>
        <w:pStyle w:val="FirstParagraph"/>
      </w:pPr>
      <w:r>
        <w:t>固定状态、观测、外生条件和候选动作，分别输入吞吐优先与能耗优先文字；在确定性推理设置下，物理参数包和轨迹应一致，评分权重可变化。改变已观测交叉干扰或动作后，物理预测允许变化。合成审计从每链路功率0.1、0.4、0.7构成的组合中筛选总功率不超过0.8的动作，共6个；各候选在窗内保持功率不变，按首步预测的吞吐、负队列和负功率代理量加权选择。该审计无实际基站下发。</w:t>
      </w:r>
    </w:p>
    <w:p>
      <w:pPr>
        <w:pStyle w:val="Heading1"/>
      </w:pPr>
      <w:r>
        <w:t>技术效果</w:t>
      </w:r>
    </w:p>
    <w:p>
      <w:pPr>
        <w:pStyle w:val="Heading2"/>
      </w:pPr>
      <w:r>
        <w:t>预测一致性</w:t>
      </w:r>
    </w:p>
    <w:p>
      <w:pPr>
        <w:pStyle w:val="FirstParagraph"/>
      </w:pPr>
      <w:r>
        <w:t>在固定模型及物理输入的条件下，偏好不进入物理前向，可避免偏好令牌沿注意力或缓存路径直接改变同一动作的预测。此性质不等于因果识别，也不保证动力学模型准确；偏好通过改变动作而影响实际网络状态仍属正常控制效果。</w:t>
      </w:r>
    </w:p>
    <w:p>
      <w:pPr>
        <w:pStyle w:val="Heading2"/>
      </w:pPr>
      <w:r>
        <w:t>计算开销与已有验证</w:t>
      </w:r>
    </w:p>
    <w:p>
      <w:pPr>
        <w:pStyle w:val="FirstParagraph"/>
      </w:pPr>
      <w:r>
        <w:t>每个窗口执行一次慢层更新，其中包含共享语言主干的两次前向；随后K步只运行快层。已有三种子合成记录如下，均来自轻量参考模型而非预训练语言模型路径。</w:t>
      </w:r>
    </w:p>
    <w:tbl>
      <w:tblPr>
        <w:tblStyle w:val="Table"/>
        <w:tblW w:type="dxa" w:w="7920"/>
        <w:tblLook w:firstRow="1" w:lastRow="0" w:firstColumn="0" w:lastColumn="0" w:noHBand="0" w:noVBand="0" w:val="0020"/>
        <w:tblCaption w:val="性能对比"/>
        <w:tblLayout w:type="fixed"/>
      </w:tblPr>
      <w:tblGrid>
        <w:gridCol w:w="1980"/>
        <w:gridCol w:w="1980"/>
        <w:gridCol w:w="1980"/>
        <w:gridCol w:w="1980"/>
      </w:tblGrid>
      <w:tr>
        <w:trPr>
          <w:tblHeader w:val="on"/>
          <w:cantSplit/>
        </w:trPr>
        <w:tc>
          <w:tcPr>
            <w:tcW w:type="dxa" w:w="1980"/>
          </w:tcPr>
          <w:p>
            <w:pPr>
              <w:pStyle w:val="Compact"/>
              <w:jc w:val="left"/>
            </w:pPr>
            <w:r>
              <w:rPr>
                <w:rFonts w:hint="eastAsia"/>
                <w:b/>
                <w:bCs/>
              </w:rPr>
              <w:t>模型</w:t>
            </w:r>
          </w:p>
        </w:tc>
        <w:tc>
          <w:tcPr>
            <w:tcW w:type="dxa" w:w="1980"/>
          </w:tcPr>
          <w:p>
            <w:pPr>
              <w:pStyle w:val="Compact"/>
              <w:jc w:val="center"/>
            </w:pPr>
            <w:r>
              <w:rPr>
                <w:rFonts w:hint="eastAsia"/>
                <w:b/>
                <w:bCs/>
              </w:rPr>
              <w:t>参数量</w:t>
            </w:r>
          </w:p>
        </w:tc>
        <w:tc>
          <w:tcPr>
            <w:tcW w:type="dxa" w:w="1980"/>
          </w:tcPr>
          <w:p>
            <w:pPr>
              <w:pStyle w:val="Compact"/>
              <w:jc w:val="center"/>
            </w:pPr>
            <w:r>
              <w:rPr>
                <w:b/>
                <w:bCs/>
              </w:rPr>
              <w:t>IID NMSE dB</w:t>
            </w:r>
          </w:p>
        </w:tc>
        <w:tc>
          <w:tcPr>
            <w:tcW w:type="dxa" w:w="1980"/>
          </w:tcPr>
          <w:p>
            <w:pPr>
              <w:pStyle w:val="Compact"/>
              <w:jc w:val="center"/>
            </w:pPr>
            <w:r>
              <w:rPr>
                <w:rFonts w:hint="eastAsia"/>
                <w:b/>
                <w:bCs/>
              </w:rPr>
              <w:t>OOD NMSE dB</w:t>
            </w:r>
          </w:p>
        </w:tc>
      </w:tr>
      <w:tr>
        <w:trPr>
          <w:cantSplit/>
        </w:trPr>
        <w:tc>
          <w:tcPr>
            <w:tcW w:type="dxa" w:w="1980"/>
          </w:tcPr>
          <w:p>
            <w:pPr>
              <w:pStyle w:val="Compact"/>
              <w:jc w:val="left"/>
            </w:pPr>
            <w:r>
              <w:rPr>
                <w:rFonts w:hint="eastAsia"/>
              </w:rPr>
              <w:t>共享模型</w:t>
            </w:r>
          </w:p>
        </w:tc>
        <w:tc>
          <w:tcPr>
            <w:tcW w:type="dxa" w:w="1980"/>
          </w:tcPr>
          <w:p>
            <w:pPr>
              <w:pStyle w:val="Compact"/>
              <w:jc w:val="center"/>
            </w:pPr>
            <w:r>
              <w:rPr>
                <w:rFonts w:hint="eastAsia"/>
              </w:rPr>
              <w:t>28031</w:t>
            </w:r>
          </w:p>
        </w:tc>
        <w:tc>
          <w:tcPr>
            <w:tcW w:type="dxa" w:w="1980"/>
          </w:tcPr>
          <w:p>
            <w:pPr>
              <w:pStyle w:val="Compact"/>
              <w:jc w:val="center"/>
            </w:pPr>
            <w:r>
              <w:rPr>
                <w:rFonts w:hint="eastAsia"/>
              </w:rPr>
              <w:t>−22.24±0.20</w:t>
            </w:r>
          </w:p>
        </w:tc>
        <w:tc>
          <w:tcPr>
            <w:tcW w:type="dxa" w:w="1980"/>
          </w:tcPr>
          <w:p>
            <w:pPr>
              <w:pStyle w:val="Compact"/>
              <w:jc w:val="center"/>
            </w:pPr>
            <w:r>
              <w:rPr>
                <w:rFonts w:hint="eastAsia"/>
              </w:rPr>
              <w:t>−9.58±0.41</w:t>
            </w:r>
          </w:p>
        </w:tc>
      </w:tr>
      <w:tr>
        <w:trPr>
          <w:cantSplit/>
        </w:trPr>
        <w:tc>
          <w:tcPr>
            <w:tcW w:type="dxa" w:w="1980"/>
          </w:tcPr>
          <w:p>
            <w:pPr>
              <w:pStyle w:val="Compact"/>
              <w:jc w:val="left"/>
            </w:pPr>
            <w:r>
              <w:rPr>
                <w:rFonts w:hint="eastAsia"/>
              </w:rPr>
              <w:t>不共享模型</w:t>
            </w:r>
          </w:p>
        </w:tc>
        <w:tc>
          <w:tcPr>
            <w:tcW w:type="dxa" w:w="1980"/>
          </w:tcPr>
          <w:p>
            <w:pPr>
              <w:pStyle w:val="Compact"/>
              <w:jc w:val="center"/>
            </w:pPr>
            <w:r>
              <w:rPr>
                <w:rFonts w:hint="eastAsia"/>
              </w:rPr>
              <w:t>32815</w:t>
            </w:r>
          </w:p>
        </w:tc>
        <w:tc>
          <w:tcPr>
            <w:tcW w:type="dxa" w:w="1980"/>
          </w:tcPr>
          <w:p>
            <w:pPr>
              <w:pStyle w:val="Compact"/>
              <w:jc w:val="center"/>
            </w:pPr>
            <w:r>
              <w:rPr>
                <w:rFonts w:hint="eastAsia"/>
              </w:rPr>
              <w:t>−21.99±1.13</w:t>
            </w:r>
          </w:p>
        </w:tc>
        <w:tc>
          <w:tcPr>
            <w:tcW w:type="dxa" w:w="1980"/>
          </w:tcPr>
          <w:p>
            <w:pPr>
              <w:pStyle w:val="Compact"/>
              <w:jc w:val="center"/>
            </w:pPr>
            <w:r>
              <w:rPr>
                <w:rFonts w:hint="eastAsia"/>
              </w:rPr>
              <w:t>−9.34±0.86</w:t>
            </w:r>
          </w:p>
        </w:tc>
      </w:tr>
      <w:tr>
        <w:trPr>
          <w:cantSplit/>
        </w:trPr>
        <w:tc>
          <w:tcPr>
            <w:tcW w:type="dxa" w:w="1980"/>
          </w:tcPr>
          <w:p>
            <w:pPr>
              <w:pStyle w:val="Compact"/>
              <w:jc w:val="left"/>
            </w:pPr>
            <w:r>
              <w:rPr>
                <w:rFonts w:hint="eastAsia"/>
              </w:rPr>
              <w:t>等参数量MLP</w:t>
            </w:r>
          </w:p>
        </w:tc>
        <w:tc>
          <w:tcPr>
            <w:tcW w:type="dxa" w:w="1980"/>
          </w:tcPr>
          <w:p>
            <w:pPr>
              <w:pStyle w:val="Compact"/>
              <w:jc w:val="center"/>
            </w:pPr>
            <w:r>
              <w:rPr>
                <w:rFonts w:hint="eastAsia"/>
              </w:rPr>
              <w:t>28806</w:t>
            </w:r>
          </w:p>
        </w:tc>
        <w:tc>
          <w:tcPr>
            <w:tcW w:type="dxa" w:w="1980"/>
          </w:tcPr>
          <w:p>
            <w:pPr>
              <w:pStyle w:val="Compact"/>
              <w:jc w:val="center"/>
            </w:pPr>
            <w:r>
              <w:rPr>
                <w:rFonts w:hint="eastAsia"/>
              </w:rPr>
              <w:t>−14.92±0.35</w:t>
            </w:r>
          </w:p>
        </w:tc>
        <w:tc>
          <w:tcPr>
            <w:tcW w:type="dxa" w:w="1980"/>
          </w:tcPr>
          <w:p>
            <w:pPr>
              <w:pStyle w:val="Compact"/>
              <w:jc w:val="center"/>
            </w:pPr>
            <w:r>
              <w:rPr>
                <w:rFonts w:hint="eastAsia"/>
              </w:rPr>
              <w:t>−7.15±0.70</w:t>
            </w:r>
          </w:p>
        </w:tc>
      </w:tr>
      <w:tr>
        <w:trPr>
          <w:cantSplit/>
        </w:trPr>
        <w:tc>
          <w:tcPr>
            <w:tcW w:type="dxa" w:w="1980"/>
          </w:tcPr>
          <w:p>
            <w:pPr>
              <w:pStyle w:val="Compact"/>
              <w:jc w:val="left"/>
            </w:pPr>
            <w:r>
              <w:rPr>
                <w:rFonts w:hint="eastAsia"/>
              </w:rPr>
              <w:t>独立循环模型</w:t>
            </w:r>
          </w:p>
        </w:tc>
        <w:tc>
          <w:tcPr>
            <w:tcW w:type="dxa" w:w="1980"/>
          </w:tcPr>
          <w:p>
            <w:pPr>
              <w:pStyle w:val="Compact"/>
              <w:jc w:val="center"/>
            </w:pPr>
            <w:r>
              <w:rPr>
                <w:rFonts w:hint="eastAsia"/>
              </w:rPr>
              <w:t>5398</w:t>
            </w:r>
          </w:p>
        </w:tc>
        <w:tc>
          <w:tcPr>
            <w:tcW w:type="dxa" w:w="1980"/>
          </w:tcPr>
          <w:p>
            <w:pPr>
              <w:pStyle w:val="Compact"/>
              <w:jc w:val="center"/>
            </w:pPr>
            <w:r>
              <w:rPr>
                <w:rFonts w:hint="eastAsia"/>
              </w:rPr>
              <w:t>−21.19±0.30</w:t>
            </w:r>
          </w:p>
        </w:tc>
        <w:tc>
          <w:tcPr>
            <w:tcW w:type="dxa" w:w="1980"/>
          </w:tcPr>
          <w:p>
            <w:pPr>
              <w:pStyle w:val="Compact"/>
              <w:jc w:val="center"/>
            </w:pPr>
            <w:r>
              <w:rPr>
                <w:rFonts w:hint="eastAsia"/>
              </w:rPr>
              <w:t>−9.43±0.37</w:t>
            </w:r>
          </w:p>
        </w:tc>
      </w:tr>
    </w:tbl>
    <w:p>
      <w:pPr>
        <w:pStyle w:val="BodyText"/>
      </w:pPr>
      <w:r>
        <w:t>共享较不共享减少4784个参数，约14.6%；均值差异未证明显著准确率增益。指标为信号能量归一化均方误差，均值与样本标准差来自初始化种子11、22、33。上述实验未验证真实无线数据、实网吞吐收益或确定性控制时延。</w:t>
      </w:r>
    </w:p>
    <w:p>
      <w:pPr>
        <w:pStyle w:val="Heading2"/>
      </w:pPr>
      <w:r>
        <w:t>输入有效性与执行边界</w:t>
      </w:r>
    </w:p>
    <w:p>
      <w:pPr>
        <w:pStyle w:val="FirstParagraph"/>
      </w:pPr>
      <w:r>
        <w:t>时间年龄、掩码和形状检查可阻止部分非法输入；有限候选功率过滤可确保所枚举动作符合该功率上限。真实网络仍需校准、接口适配和端到端时限测试。当前快慢接口不包含分布式传输、异步调度或基站执行协议。</w:t>
      </w:r>
    </w:p>
    <w:p>
      <w:pPr>
        <w:pStyle w:val="Heading1"/>
      </w:pPr>
      <w:r>
        <w:t>权利要求书</w:t>
      </w:r>
    </w:p>
    <w:p>
      <w:pPr>
        <w:pStyle w:val="Heading2"/>
      </w:pPr>
      <w:r>
        <w:t>独立权利要求</w:t>
      </w:r>
    </w:p>
    <w:p>
      <w:pPr>
        <w:pStyle w:val="FirstParagraph"/>
      </w:pPr>
      <w:r>
        <w:t>1.一种由计算设备执行的多模态多速率无线网络世界模型控制方法，其特征在于：将无线网络的至少两种模态观测分别编码为含模态标识、观测年龄、采样周期及有效掩码的连续令牌；利用同一预训练语言主干的独立前向处理物理视图和语义视图，物理视图包含所述令牌、网络状态、外生条件及上一窗口摘要而不包含运营偏好，语义视图另包含运营偏好；仅由物理视图产生缩放、偏置及低秩矩阵组成的调制参数包，由语义视图产生目标权重；在慢窗口内缓存所述参数包，使用动作、状态、外生条件及循环记忆执行多个快步的状态递推，快步不调用所述语言主干且不读取所述目标权重；将快步隐藏序列压缩为摘要，与窗口终态共同用于下一窗口更新；对满足预设配置边界的候选无线资源配置，基于预测指标及目标权重确定并输出推荐配置。</w:t>
      </w:r>
    </w:p>
    <w:p>
      <w:pPr>
        <w:pStyle w:val="BodyText"/>
      </w:pPr>
      <w:r>
        <w:t>2.一种实现权利要求1所述方法的无线网络世界模型控制系统，包括多模态编码模块、共享语言主干及双视图处理模块、物理调制参数生成模块、目标权重模块、缓存模块、循环状态预测模块、窗口摘要模块和候选配置评价模块，各模块按照权利要求1的数据依赖关系连接。</w:t>
      </w:r>
    </w:p>
    <w:p>
      <w:pPr>
        <w:pStyle w:val="Heading2"/>
      </w:pPr>
      <w:r>
        <w:t>从属权利要求</w:t>
      </w:r>
    </w:p>
    <w:p>
      <w:pPr>
        <w:pStyle w:val="FirstParagraph"/>
      </w:pPr>
      <w:r>
        <w:t>3.根据权利要求1所述的方法，其中以观测年龄及周期的log1p变换生成时间嵌入，并在进入语言主干前将无效观测置零和屏蔽其注意力位置，拒绝有效观测中的负年龄及非有限值。</w:t>
      </w:r>
    </w:p>
    <w:p>
      <w:pPr>
        <w:pStyle w:val="BodyText"/>
      </w:pPr>
      <w:r>
        <w:t>4.根据权利要求1所述的方法，其中物理视图附加物理查询令牌，语义视图读取最后一个有效偏好令牌位置；物理前向不复用语义前向的隐藏状态及缓存。</w:t>
      </w:r>
    </w:p>
    <w:p>
      <w:pPr>
        <w:pStyle w:val="BodyText"/>
      </w:pPr>
      <w:r>
        <w:t>5.根据权利要求1所述的方法，其中低秩矩阵A、B均具有小于快层宽度的秩维数r，循环输出增加按先乘A再乘B转置计算并除以r平方根的归一化输入残差，所述矩阵在同一窗口内保持不变。</w:t>
      </w:r>
    </w:p>
    <w:p>
      <w:pPr>
        <w:pStyle w:val="BodyText"/>
      </w:pPr>
      <w:r>
        <w:t>6.根据权利要求1所述的方法，其中慢层物理投影后的循环算子与快层循环算子使用相同参数对象，冻结语言主干权重时保留连续编码器经过语言主干的梯度传播。</w:t>
      </w:r>
    </w:p>
    <w:p>
      <w:pPr>
        <w:pStyle w:val="BodyText"/>
      </w:pPr>
      <w:r>
        <w:t>7.根据权利要求1所述的方法，其中摘要由卷积核长度和步长均等于窗口快步数的一维卷积生成，跨窗口预测不重置网络状态至初始窗口状态。</w:t>
      </w:r>
    </w:p>
    <w:p>
      <w:pPr>
        <w:pStyle w:val="BodyText"/>
      </w:pPr>
      <w:r>
        <w:t>8.根据权利要求1所述的方法，其中候选配置包括各链路功率，在评分前剔除总功率超过预设上限的组合；目标权重由吞吐、队列或时延代理、能耗偏好映射获得，配置推荐不构成对未检查约束的保证。</w:t>
      </w:r>
    </w:p>
    <w:p>
      <w:pPr>
        <w:pStyle w:val="Heading1"/>
      </w:pPr>
      <w:r>
        <w:t>说明书摘要</w:t>
      </w:r>
    </w:p>
    <w:p>
      <w:pPr>
        <w:pStyle w:val="FirstParagraph"/>
      </w:pPr>
      <w:r>
        <w:t>本发明公开一种多模态多速率无线网络世界模型控制方法。将网络观测编码为带模态、年龄、周期及有效掩码的连续令牌，以共享预训练语言主干的独立物理视图和语义视图分别产生调制参数包及目标权重。快层在慢窗口内复用参数包，根据状态、候选动作、外生条件及循环记忆执行状态递推，不调用语言主干且不读取目标权重；以终态及隐藏序列摘要更新下一窗口。对符合配置边界的候选动作按预测指标和目标权重评分，输出无线资源配置推荐。该方法用于减少重复主干计算并限制运营偏好对固定动作物理预测的直接影响。摘要附图为图1。</w:t>
      </w:r>
    </w:p>
    <w:sectPr>
      <w:footerReference w:type="default" r:id="rId11"/>
      <w:footnotePr>
        <w:numRestart w:val="eachSect"/>
      </w:footnotePr>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第 </w:t>
    </w:r>
    <w:fldSimple w:instr="PAGE"/>
    <w:r>
      <w:rPr>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发明专利技术交底书</dc:title>
  <dc:creator/>
  <cp:keywords/>
  <dcterms:created xsi:type="dcterms:W3CDTF">2026-10-16T00:00:00Z</dcterms:created>
  <dcterms:modified xsi:type="dcterms:W3CDTF">2026-10-16T00:00:00Z</dcterms:modified>
  <cp:lastModifiedBy/>
  <dc:subject>一种多模态多速率无线网络世界模型控制方法</dc:subject>
  <dc:description/>
  <cp:category/>
  <dc:identifier/>
</cp:coreProperties>
</file>