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Figure 1: Overall 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61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6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图1：系统整体架构图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64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6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>### Description / 描述</w:t>
        <w:br/>
        <w:t>Shows the complete threshold Falcon signature system architecture with source chain, signature system, and target chain interaction.</w:t>
        <w:br/>
        <w:t>### Reference Numerals / 附图标记</w:t>
        <w:br/>
        <w:t>### Layout Specification / 布局规格</w:t>
        <w:br/>
        <w:t>```</w:t>
        <w:br/>
        <w:t>+----------------------------------------------------------+</w:t>
        <w:br/>
        <w:t>+----------------------------------------------------------+</w:t>
        <w:br/>
        <w:t>```</w:t>
        <w:br/>
        <w:t>### Arrow Specifications / 箭头规格</w:t>
        <w:br/>
        <w:t>- All arrows: 0.5mm line width, solid arrowhead</w:t>
        <w:br/>
        <w:t>- Vertical data flow arrows: Downward direction</w:t>
        <w:br/>
        <w:t>- Horizontal process arrows: Left to right</w:t>
        <w:br/>
        <w:t>- Dashed lines for internal communication within modules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Figure 2: Collaborative Rejection Sampling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38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8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图2：协同纠偏采样流程图</w:t>
      </w:r>
    </w:p>
    <w:p>
      <w:pPr>
        <w:jc w:val="center"/>
      </w:pPr>
      <w:r>
        <w:t>[图片文件未找到]</w:t>
      </w:r>
    </w:p>
    <w:p>
      <w:r>
        <w:rPr>
          <w:rFonts w:ascii="宋体" w:hAnsi="宋体" w:eastAsia="宋体"/>
          <w:b w:val="0"/>
          <w:sz w:val="24"/>
        </w:rPr>
        <w:t>### Description / 描述</w:t>
        <w:br/>
        <w:t>Flowchart showing the three-phase protocol: Commitment, Pre-check Verification, and Conditional Reveal.</w:t>
        <w:br/>
        <w:t>### Reference Numerals / 附图标记</w:t>
        <w:br/>
        <w:t>### Layout Specification / 布局规格</w:t>
        <w:br/>
        <w:t>```</w:t>
        <w:br/>
        <w:t>+----------------------------------------------------------+</w:t>
        <w:br/>
        <w:t>+----------------------------------------------------------+</w:t>
        <w:br/>
        <w:t>```</w:t>
        <w:br/>
        <w:t>### Flowchart Symbol Standards / 流程图符号标准</w:t>
        <w:br/>
        <w:t xml:space="preserve">- </w:t>
      </w:r>
      <w:r>
        <w:rPr>
          <w:rFonts w:ascii="宋体" w:hAnsi="宋体" w:eastAsia="宋体"/>
          <w:b/>
          <w:sz w:val="24"/>
        </w:rPr>
        <w:t>Oval/Ellipse</w:t>
      </w:r>
      <w:r>
        <w:rPr>
          <w:rFonts w:ascii="宋体" w:hAnsi="宋体" w:eastAsia="宋体"/>
          <w:b w:val="0"/>
          <w:sz w:val="24"/>
        </w:rPr>
        <w:t>: Start/End terminals (200, 280)</w:t>
        <w:br/>
        <w:t xml:space="preserve">- </w:t>
      </w:r>
      <w:r>
        <w:rPr>
          <w:rFonts w:ascii="宋体" w:hAnsi="宋体" w:eastAsia="宋体"/>
          <w:b/>
          <w:sz w:val="24"/>
        </w:rPr>
        <w:t>Rectangle</w:t>
      </w:r>
      <w:r>
        <w:rPr>
          <w:rFonts w:ascii="宋体" w:hAnsi="宋体" w:eastAsia="宋体"/>
          <w:b w:val="0"/>
          <w:sz w:val="24"/>
        </w:rPr>
        <w:t>: Process steps (211, 212, 221-223, 231-233, 251, 252, 261, 262)</w:t>
        <w:br/>
        <w:t xml:space="preserve">- </w:t>
      </w:r>
      <w:r>
        <w:rPr>
          <w:rFonts w:ascii="宋体" w:hAnsi="宋体" w:eastAsia="宋体"/>
          <w:b/>
          <w:sz w:val="24"/>
        </w:rPr>
        <w:t>Diamond</w:t>
      </w:r>
      <w:r>
        <w:rPr>
          <w:rFonts w:ascii="宋体" w:hAnsi="宋体" w:eastAsia="宋体"/>
          <w:b w:val="0"/>
          <w:sz w:val="24"/>
        </w:rPr>
        <w:t>: Decision point (240)</w:t>
        <w:br/>
        <w:t xml:space="preserve">- </w:t>
      </w:r>
      <w:r>
        <w:rPr>
          <w:rFonts w:ascii="宋体" w:hAnsi="宋体" w:eastAsia="宋体"/>
          <w:b/>
          <w:sz w:val="24"/>
        </w:rPr>
        <w:t>Rectangle with double border</w:t>
      </w:r>
      <w:r>
        <w:rPr>
          <w:rFonts w:ascii="宋体" w:hAnsi="宋体" w:eastAsia="宋体"/>
          <w:b w:val="0"/>
          <w:sz w:val="24"/>
        </w:rPr>
        <w:t>: Phase groupings (210, 220, 230, 250)</w:t>
        <w:br/>
        <w:t xml:space="preserve">- </w:t>
      </w:r>
      <w:r>
        <w:rPr>
          <w:rFonts w:ascii="宋体" w:hAnsi="宋体" w:eastAsia="宋体"/>
          <w:b/>
          <w:sz w:val="24"/>
        </w:rPr>
        <w:t>Arrows</w:t>
      </w:r>
      <w:r>
        <w:rPr>
          <w:rFonts w:ascii="宋体" w:hAnsi="宋体" w:eastAsia="宋体"/>
          <w:b w:val="0"/>
          <w:sz w:val="24"/>
        </w:rPr>
        <w:t>: 0.5mm width, solid arrowhead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Figure 3: Dynamic Node Management Diagram</w:t>
      </w:r>
    </w:p>
    <w:p>
      <w:pPr>
        <w:jc w:val="center"/>
      </w:pPr>
      <w:r>
        <w:t>[图片文件未找到]</w:t>
      </w:r>
    </w:p>
    <w:p>
      <w:r>
        <w:rPr>
          <w:rFonts w:ascii="宋体" w:hAnsi="宋体" w:eastAsia="宋体"/>
          <w:b w:val="0"/>
          <w:sz w:val="24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图3：动态节点管理示意图</w:t>
      </w:r>
    </w:p>
    <w:p>
      <w:pPr>
        <w:jc w:val="center"/>
      </w:pPr>
      <w:r>
        <w:t>[图片文件未找到]</w:t>
      </w:r>
    </w:p>
    <w:p>
      <w:r>
        <w:rPr>
          <w:rFonts w:ascii="宋体" w:hAnsi="宋体" w:eastAsia="宋体"/>
          <w:b w:val="0"/>
          <w:sz w:val="24"/>
        </w:rPr>
        <w:t>### Description / 描述</w:t>
        <w:br/>
        <w:t>Three sub-diagrams showing: (A) Node Addition, (B) Node Revocation, (C) Offline Node Recovery</w:t>
        <w:br/>
        <w:t>### Reference Numerals / 附图标记</w:t>
        <w:br/>
        <w:t>### Layout Specification / 布局规格</w:t>
        <w:br/>
        <w:t>```</w:t>
        <w:br/>
        <w:t>+----------------------------------------------------------+</w:t>
        <w:br/>
        <w:t>+----------------------------------------------------------+</w:t>
        <w:br/>
        <w:t>```</w:t>
        <w:br/>
        <w:t>### Visual Element Standards / 视觉元素标准</w:t>
        <w:br/>
        <w:t xml:space="preserve">- </w:t>
      </w:r>
      <w:r>
        <w:rPr>
          <w:rFonts w:ascii="宋体" w:hAnsi="宋体" w:eastAsia="宋体"/>
          <w:b/>
          <w:sz w:val="24"/>
        </w:rPr>
        <w:t>Active Node</w:t>
      </w:r>
      <w:r>
        <w:rPr>
          <w:rFonts w:ascii="宋体" w:hAnsi="宋体" w:eastAsia="宋体"/>
          <w:b w:val="0"/>
          <w:sz w:val="24"/>
        </w:rPr>
        <w:t>: Solid border rectangle</w:t>
        <w:br/>
        <w:t xml:space="preserve">- </w:t>
      </w:r>
      <w:r>
        <w:rPr>
          <w:rFonts w:ascii="宋体" w:hAnsi="宋体" w:eastAsia="宋体"/>
          <w:b/>
          <w:sz w:val="24"/>
        </w:rPr>
        <w:t>Revoked Node</w:t>
      </w:r>
      <w:r>
        <w:rPr>
          <w:rFonts w:ascii="宋体" w:hAnsi="宋体" w:eastAsia="宋体"/>
          <w:b w:val="0"/>
          <w:sz w:val="24"/>
        </w:rPr>
        <w:t>: Rectangle with X overlay</w:t>
        <w:br/>
        <w:t xml:space="preserve">- </w:t>
      </w:r>
      <w:r>
        <w:rPr>
          <w:rFonts w:ascii="宋体" w:hAnsi="宋体" w:eastAsia="宋体"/>
          <w:b/>
          <w:sz w:val="24"/>
        </w:rPr>
        <w:t>Offline Node</w:t>
      </w:r>
      <w:r>
        <w:rPr>
          <w:rFonts w:ascii="宋体" w:hAnsi="宋体" w:eastAsia="宋体"/>
          <w:b w:val="0"/>
          <w:sz w:val="24"/>
        </w:rPr>
        <w:t>: Rectangle with ? overlay</w:t>
        <w:br/>
        <w:t xml:space="preserve">- </w:t>
      </w:r>
      <w:r>
        <w:rPr>
          <w:rFonts w:ascii="宋体" w:hAnsi="宋体" w:eastAsia="宋体"/>
          <w:b/>
          <w:sz w:val="24"/>
        </w:rPr>
        <w:t>New Node</w:t>
      </w:r>
      <w:r>
        <w:rPr>
          <w:rFonts w:ascii="宋体" w:hAnsi="宋体" w:eastAsia="宋体"/>
          <w:b w:val="0"/>
          <w:sz w:val="24"/>
        </w:rPr>
        <w:t>: Dashed border rectangle (before integration)</w:t>
        <w:br/>
        <w:t xml:space="preserve">- </w:t>
      </w:r>
      <w:r>
        <w:rPr>
          <w:rFonts w:ascii="宋体" w:hAnsi="宋体" w:eastAsia="宋体"/>
          <w:b/>
          <w:sz w:val="24"/>
        </w:rPr>
        <w:t>Process Box</w:t>
      </w:r>
      <w:r>
        <w:rPr>
          <w:rFonts w:ascii="宋体" w:hAnsi="宋体" w:eastAsia="宋体"/>
          <w:b w:val="0"/>
          <w:sz w:val="24"/>
        </w:rPr>
        <w:t>: Rounded rectangle with gray fill (10%)</w:t>
        <w:br/>
        <w:t xml:space="preserve">- </w:t>
      </w:r>
      <w:r>
        <w:rPr>
          <w:rFonts w:ascii="宋体" w:hAnsi="宋体" w:eastAsia="宋体"/>
          <w:b/>
          <w:sz w:val="24"/>
        </w:rPr>
        <w:t>Arrows</w:t>
      </w:r>
      <w:r>
        <w:rPr>
          <w:rFonts w:ascii="宋体" w:hAnsi="宋体" w:eastAsia="宋体"/>
          <w:b w:val="0"/>
          <w:sz w:val="24"/>
        </w:rPr>
        <w:t>: Indicate data/share flow direction</w:t>
        <w:br/>
        <w:t xml:space="preserve">- </w:t>
      </w:r>
      <w:r>
        <w:rPr>
          <w:rFonts w:ascii="宋体" w:hAnsi="宋体" w:eastAsia="宋体"/>
          <w:b/>
          <w:sz w:val="24"/>
        </w:rPr>
        <w:t>Separator Lines</w:t>
      </w:r>
      <w:r>
        <w:rPr>
          <w:rFonts w:ascii="宋体" w:hAnsi="宋体" w:eastAsia="宋体"/>
          <w:b w:val="0"/>
          <w:sz w:val="24"/>
        </w:rPr>
        <w:t>: Double line (═) between scenarios</w:t>
        <w:br/>
        <w:t>## Production Instructions / 制作说明</w:t>
        <w:br/>
        <w:t>### For Professional Illustrators / 给专业制图人员</w:t>
        <w:br/>
        <w:t xml:space="preserve">1. </w:t>
      </w:r>
      <w:r>
        <w:rPr>
          <w:rFonts w:ascii="宋体" w:hAnsi="宋体" w:eastAsia="宋体"/>
          <w:b/>
          <w:sz w:val="24"/>
        </w:rPr>
        <w:t>Software Recommendations / 软件建议</w:t>
      </w:r>
      <w:r>
        <w:rPr>
          <w:rFonts w:ascii="宋体" w:hAnsi="宋体" w:eastAsia="宋体"/>
          <w:b w:val="0"/>
          <w:sz w:val="24"/>
        </w:rPr>
        <w:t>:</w:t>
        <w:br/>
        <w:t>- Adobe Illustrator (preferred)</w:t>
        <w:br/>
        <w:t>- Microsoft Visio</w:t>
        <w:br/>
        <w:t>- Draw.io (free alternative)</w:t>
        <w:br/>
        <w:t>- AutoCAD LT</w:t>
        <w:br/>
        <w:t xml:space="preserve">2. </w:t>
      </w:r>
      <w:r>
        <w:rPr>
          <w:rFonts w:ascii="宋体" w:hAnsi="宋体" w:eastAsia="宋体"/>
          <w:b/>
          <w:sz w:val="24"/>
        </w:rPr>
        <w:t>File Deliverables / 交付文件</w:t>
      </w:r>
      <w:r>
        <w:rPr>
          <w:rFonts w:ascii="宋体" w:hAnsi="宋体" w:eastAsia="宋体"/>
          <w:b w:val="0"/>
          <w:sz w:val="24"/>
        </w:rPr>
        <w:t>:</w:t>
        <w:br/>
        <w:t>- Source file (AI, VSDX, or DWG)</w:t>
        <w:br/>
        <w:t>- PDF export (vector, not rasterized)</w:t>
        <w:br/>
        <w:t>- PNG export at 300 DPI</w:t>
        <w:br/>
        <w:t>- TIFF export at 300 DPI (for USPTO)</w:t>
        <w:br/>
        <w:t xml:space="preserve">3. </w:t>
      </w:r>
      <w:r>
        <w:rPr>
          <w:rFonts w:ascii="宋体" w:hAnsi="宋体" w:eastAsia="宋体"/>
          <w:b/>
          <w:sz w:val="24"/>
        </w:rPr>
        <w:t>Color Mode / 颜色模式</w:t>
      </w:r>
      <w:r>
        <w:rPr>
          <w:rFonts w:ascii="宋体" w:hAnsi="宋体" w:eastAsia="宋体"/>
          <w:b w:val="0"/>
          <w:sz w:val="24"/>
        </w:rPr>
        <w:t>:</w:t>
        <w:br/>
        <w:t>- Grayscale only</w:t>
        <w:br/>
        <w:t>- No fills darker than 20% gray</w:t>
        <w:br/>
        <w:t>- All text and lines must be pure black (#000000)</w:t>
        <w:br/>
        <w:t xml:space="preserve">4. </w:t>
      </w:r>
      <w:r>
        <w:rPr>
          <w:rFonts w:ascii="宋体" w:hAnsi="宋体" w:eastAsia="宋体"/>
          <w:b/>
          <w:sz w:val="24"/>
        </w:rPr>
        <w:t>Text Handling / 文字处理</w:t>
      </w:r>
      <w:r>
        <w:rPr>
          <w:rFonts w:ascii="宋体" w:hAnsi="宋体" w:eastAsia="宋体"/>
          <w:b w:val="0"/>
          <w:sz w:val="24"/>
        </w:rPr>
        <w:t>:</w:t>
        <w:br/>
        <w:t>- Convert all text to outlines/curves for final submission</w:t>
        <w:br/>
        <w:t>- Maintain editable version separately</w:t>
        <w:br/>
        <w:t xml:space="preserve">5. </w:t>
      </w:r>
      <w:r>
        <w:rPr>
          <w:rFonts w:ascii="宋体" w:hAnsi="宋体" w:eastAsia="宋体"/>
          <w:b/>
          <w:sz w:val="24"/>
        </w:rPr>
        <w:t>Reference Numeral Placement / 标记放置</w:t>
      </w:r>
      <w:r>
        <w:rPr>
          <w:rFonts w:ascii="宋体" w:hAnsi="宋体" w:eastAsia="宋体"/>
          <w:b w:val="0"/>
          <w:sz w:val="24"/>
        </w:rPr>
        <w:t>:</w:t>
        <w:br/>
        <w:t>- Place numerals adjacent to elements, not overlapping</w:t>
        <w:br/>
        <w:t>- Use leader lines (thin, 0.25mm) when necessary</w:t>
        <w:br/>
        <w:t>- Consistent numeral size throughout (10pt minimum)</w:t>
        <w:br/>
        <w:t>## Estimated Production Time / 预计制作时间</w:t>
        <w:br/>
        <w:t>## Approval Checklist / 审批清单</w:t>
        <w:br/>
        <w:t>- [ ] Figure 1 draft reviewed</w:t>
        <w:br/>
        <w:t>- [ ] Figure 2 draft reviewed</w:t>
        <w:br/>
        <w:t>- [ ] Figure 3 draft reviewed</w:t>
        <w:br/>
        <w:t>- [ ] All reference numerals match specification text</w:t>
        <w:br/>
        <w:t>- [ ] Resolution meets patent office requirements</w:t>
        <w:br/>
        <w:t>- [ ] Chinese and English versions consistent</w:t>
        <w:br/>
        <w:t>- [ ] Final files exported in required formats</w:t>
        <w:br/>
        <w:t>*Document Version: 1.0*</w:t>
        <w:br/>
        <w:t>*Created: December 2025*</w:t>
        <w:br/>
        <w:t>*Last Updated: December 2025*</w:t>
      </w:r>
    </w:p>
    <w:p>
      <w:r>
        <w:br w:type="page"/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