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tent-abstract"/>
    <w:p>
      <w:pPr>
        <w:pStyle w:val="Heading1"/>
      </w:pPr>
      <w:r>
        <w:t xml:space="preserve">Patent Abstract</w:t>
      </w:r>
    </w:p>
    <w:bookmarkStart w:id="17" w:name="X25404f358de620630170191336d1f6ec9b316e7"/>
    <w:p>
      <w:pPr>
        <w:pStyle w:val="Heading2"/>
      </w:pPr>
      <w:r>
        <w:t xml:space="preserve">Quantum-Secure Threshold Signature System and Method Based</w:t>
      </w:r>
      <w:r>
        <w:t xml:space="preserve"> </w:t>
      </w:r>
      <w:r>
        <w:t xml:space="preserve">on Lattice-Based Falcon</w:t>
      </w:r>
      <w:r>
        <w:t xml:space="preserve"> </w:t>
      </w:r>
      <w:r>
        <w:t xml:space="preserve">Algorithm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Technical Field</w:t>
      </w:r>
      <w:r>
        <w:t xml:space="preserve">: The present invention relates to blockchain</w:t>
      </w:r>
      <w:r>
        <w:t xml:space="preserve"> </w:t>
      </w:r>
      <w:r>
        <w:t xml:space="preserve">technology, Post-Quantum Cryptography (PQC), and Multi-Party Computation</w:t>
      </w:r>
      <w:r>
        <w:t xml:space="preserve"> </w:t>
      </w:r>
      <w:r>
        <w:t xml:space="preserve">(MPC).</w:t>
      </w:r>
    </w:p>
    <w:p>
      <w:pPr>
        <w:pStyle w:val="BodyText"/>
      </w:pPr>
      <w:r>
        <w:rPr>
          <w:b/>
          <w:bCs/>
        </w:rPr>
        <w:t xml:space="preserve">Technical Problem</w:t>
      </w:r>
      <w:r>
        <w:t xml:space="preserve">: Existing cross-chain bridges using elliptic</w:t>
      </w:r>
      <w:r>
        <w:t xml:space="preserve"> </w:t>
      </w:r>
      <w:r>
        <w:t xml:space="preserve">curve threshold signatures are vulnerable to quantum computing attacks.</w:t>
      </w:r>
      <w:r>
        <w:t xml:space="preserve"> </w:t>
      </w:r>
      <w:r>
        <w:t xml:space="preserve">Furthermore, distributed implementation of the Falcon algorithm faces</w:t>
      </w:r>
      <w:r>
        <w:t xml:space="preserve"> </w:t>
      </w:r>
      <w:r>
        <w:t xml:space="preserve">discrete Gaussian sampling challenges and O(n) communication complexity.</w:t>
      </w:r>
    </w:p>
    <w:p>
      <w:pPr>
        <w:pStyle w:val="BodyText"/>
      </w:pPr>
      <w:r>
        <w:rPr>
          <w:b/>
          <w:bCs/>
        </w:rPr>
        <w:t xml:space="preserve">Technical Solution</w:t>
      </w:r>
      <w:r>
        <w:t xml:space="preserve">: A quantum-secure threshold signature system</w:t>
      </w:r>
      <w:r>
        <w:t xml:space="preserve"> </w:t>
      </w:r>
      <w:r>
        <w:t xml:space="preserve">comprising: a distributed key generation module for generating</w:t>
      </w:r>
      <w:r>
        <w:t xml:space="preserve"> </w:t>
      </w:r>
      <w:r>
        <w:t xml:space="preserve">secret-shared NTRU trapdoor portions among multiple nodes via secure</w:t>
      </w:r>
      <w:r>
        <w:t xml:space="preserve"> </w:t>
      </w:r>
      <w:r>
        <w:t xml:space="preserve">multi-party computation; an arithmetic-shared NTT computation module</w:t>
      </w:r>
      <w:r>
        <w:t xml:space="preserve"> </w:t>
      </w:r>
      <w:r>
        <w:t xml:space="preserve">utilizing NTT linearity for zero-communication distributed polynomial</w:t>
      </w:r>
      <w:r>
        <w:t xml:space="preserve"> </w:t>
      </w:r>
      <w:r>
        <w:t xml:space="preserve">operations; a collaborative rejection sampling module reducing</w:t>
      </w:r>
      <w:r>
        <w:t xml:space="preserve"> </w:t>
      </w:r>
      <w:r>
        <w:t xml:space="preserve">communication rounds from O(n) to O(1) through a pre-check commitment</w:t>
      </w:r>
      <w:r>
        <w:t xml:space="preserve"> </w:t>
      </w:r>
      <w:r>
        <w:t xml:space="preserve">mechanism; and a signature aggregation module outputting NIST</w:t>
      </w:r>
      <w:r>
        <w:t xml:space="preserve"> </w:t>
      </w:r>
      <w:r>
        <w:t xml:space="preserve">Falcon-compliant digital signatures.</w:t>
      </w:r>
    </w:p>
    <w:p>
      <w:pPr>
        <w:pStyle w:val="BodyText"/>
      </w:pPr>
      <w:r>
        <w:rPr>
          <w:b/>
          <w:bCs/>
        </w:rPr>
        <w:t xml:space="preserve">Technical Effects</w:t>
      </w:r>
      <w:r>
        <w:t xml:space="preserve">: Compared to existing Dilithium threshold</w:t>
      </w:r>
      <w:r>
        <w:t xml:space="preserve"> </w:t>
      </w:r>
      <w:r>
        <w:t xml:space="preserve">schemes, signature length is reduced by approximately 3.6 times</w:t>
      </w:r>
      <w:r>
        <w:t xml:space="preserve"> </w:t>
      </w:r>
      <w:r>
        <w:t xml:space="preserve">(~666 bytes vs ~2420 bytes), blockchain gas</w:t>
      </w:r>
      <w:r>
        <w:t xml:space="preserve"> </w:t>
      </w:r>
      <w:r>
        <w:t xml:space="preserve">costs are reduced by approximately 72%, dynamic node management is</w:t>
      </w:r>
      <w:r>
        <w:t xml:space="preserve"> </w:t>
      </w:r>
      <w:r>
        <w:t xml:space="preserve">supported, while maintaining quantum-resistant security properties.</w:t>
      </w:r>
    </w:p>
    <w:p>
      <w:r>
        <w:pict>
          <v:rect style="width:0;height:1.5pt" o:hralign="center" o:hrstd="t" o:hr="t"/>
        </w:pict>
      </w:r>
    </w:p>
    <w:bookmarkEnd w:id="9"/>
    <w:bookmarkStart w:id="10" w:name="keywords"/>
    <w:p>
      <w:pPr>
        <w:pStyle w:val="Heading3"/>
      </w:pPr>
      <w:r>
        <w:t xml:space="preserve">Keywords</w:t>
      </w:r>
    </w:p>
    <w:p>
      <w:pPr>
        <w:pStyle w:val="FirstParagraph"/>
      </w:pPr>
      <w:r>
        <w:t xml:space="preserve">Post-quantum cryptography; Falcon signature; Threshold signature;</w:t>
      </w:r>
      <w:r>
        <w:t xml:space="preserve"> </w:t>
      </w:r>
      <w:r>
        <w:t xml:space="preserve">Multi-party secure computation; NTRU lattice; Cross-chain bridge;</w:t>
      </w:r>
      <w:r>
        <w:t xml:space="preserve"> </w:t>
      </w:r>
      <w:r>
        <w:t xml:space="preserve">Discrete Gaussian sampling</w:t>
      </w:r>
    </w:p>
    <w:p>
      <w:r>
        <w:pict>
          <v:rect style="width:0;height:1.5pt" o:hralign="center" o:hrstd="t" o:hr="t"/>
        </w:pict>
      </w:r>
    </w:p>
    <w:bookmarkEnd w:id="10"/>
    <w:bookmarkStart w:id="11" w:name="brief-description-of-drawings"/>
    <w:p>
      <w:pPr>
        <w:pStyle w:val="Heading3"/>
      </w:pPr>
      <w:r>
        <w:t xml:space="preserve">Brief Description of</w:t>
      </w:r>
      <w:r>
        <w:t xml:space="preserve"> </w:t>
      </w:r>
      <w:r>
        <w:t xml:space="preserve">Drawings</w:t>
      </w:r>
    </w:p>
    <w:p>
      <w:pPr>
        <w:pStyle w:val="FirstParagraph"/>
      </w:pPr>
      <w:r>
        <w:rPr>
          <w:b/>
          <w:bCs/>
        </w:rPr>
        <w:t xml:space="preserve">Figure 1</w:t>
      </w:r>
      <w:r>
        <w:t xml:space="preserve">: Overall system architecture diagram showing</w:t>
      </w:r>
      <w:r>
        <w:t xml:space="preserve"> </w:t>
      </w:r>
      <w:r>
        <w:t xml:space="preserve">interaction flow between source chain, threshold signature system, and</w:t>
      </w:r>
      <w:r>
        <w:t xml:space="preserve"> </w:t>
      </w:r>
      <w:r>
        <w:t xml:space="preserve">target chain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: Collaborative rejection sampling flowchart showing</w:t>
      </w:r>
      <w:r>
        <w:t xml:space="preserve"> </w:t>
      </w:r>
      <w:r>
        <w:t xml:space="preserve">the three-phase protocol of commitment, pre-check, and reveal</w:t>
      </w:r>
    </w:p>
    <w:p>
      <w:pPr>
        <w:pStyle w:val="BodyText"/>
      </w:pPr>
      <w:r>
        <w:rPr>
          <w:b/>
          <w:bCs/>
        </w:rPr>
        <w:t xml:space="preserve">Figure 3</w:t>
      </w:r>
      <w:r>
        <w:t xml:space="preserve">: Dynamic node management diagram including three</w:t>
      </w:r>
      <w:r>
        <w:t xml:space="preserve"> </w:t>
      </w:r>
      <w:r>
        <w:t xml:space="preserve">scenarios: node addition, revocation, and offline recovery</w:t>
      </w:r>
    </w:p>
    <w:p>
      <w:r>
        <w:pict>
          <v:rect style="width:0;height:1.5pt" o:hralign="center" o:hrstd="t" o:hr="t"/>
        </w:pict>
      </w:r>
    </w:p>
    <w:bookmarkEnd w:id="11"/>
    <w:bookmarkStart w:id="12" w:name="ipc-classifications"/>
    <w:p>
      <w:pPr>
        <w:pStyle w:val="Heading3"/>
      </w:pPr>
      <w:r>
        <w:t xml:space="preserve">IPC Classifications</w:t>
      </w:r>
    </w:p>
    <w:p>
      <w:pPr>
        <w:numPr>
          <w:ilvl w:val="0"/>
          <w:numId w:val="1001"/>
        </w:numPr>
      </w:pPr>
      <w:r>
        <w:t xml:space="preserve">H04L 9/32 — Digital signatures</w:t>
      </w:r>
    </w:p>
    <w:p>
      <w:pPr>
        <w:numPr>
          <w:ilvl w:val="0"/>
          <w:numId w:val="1001"/>
        </w:numPr>
      </w:pPr>
      <w:r>
        <w:t xml:space="preserve">H04L 9/30 — Public key cryptosystems</w:t>
      </w:r>
    </w:p>
    <w:p>
      <w:pPr>
        <w:numPr>
          <w:ilvl w:val="0"/>
          <w:numId w:val="1001"/>
        </w:numPr>
      </w:pPr>
      <w:r>
        <w:t xml:space="preserve">H04L 9/08 — Key distribution</w:t>
      </w:r>
    </w:p>
    <w:p>
      <w:pPr>
        <w:numPr>
          <w:ilvl w:val="0"/>
          <w:numId w:val="1001"/>
        </w:numPr>
      </w:pPr>
      <w:r>
        <w:t xml:space="preserve">G06F 21/64 — Integrity protection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effects-summary"/>
    <w:p>
      <w:pPr>
        <w:pStyle w:val="Heading3"/>
      </w:pPr>
      <w:r>
        <w:t xml:space="preserve">Technical Effects</w:t>
      </w:r>
      <w:r>
        <w:t xml:space="preserve"> </w:t>
      </w: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Technical Metric</w:t>
            </w:r>
          </w:p>
        </w:tc>
        <w:tc>
          <w:tcPr/>
          <w:p>
            <w:pPr>
              <w:jc w:val="left"/>
            </w:pPr>
            <w:r>
              <w:t xml:space="preserve">This Invention</w:t>
            </w:r>
          </w:p>
        </w:tc>
        <w:tc>
          <w:tcPr/>
          <w:p>
            <w:pPr>
              <w:jc w:val="left"/>
            </w:pPr>
            <w:r>
              <w:t xml:space="preserve">Prior Art (Dilithium)</w:t>
            </w:r>
          </w:p>
        </w:tc>
        <w:tc>
          <w:tcPr/>
          <w:p>
            <w:pPr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~666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~2420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3.6x 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ocument-checklist"/>
    <w:p>
      <w:pPr>
        <w:pStyle w:val="Heading3"/>
      </w:pPr>
      <w:r>
        <w:t xml:space="preserve">Document Checklist</w:t>
      </w:r>
    </w:p>
    <w:p>
      <w:pPr>
        <w:numPr>
          <w:ilvl w:val="0"/>
          <w:numId w:val="1002"/>
        </w:numPr>
      </w:pPr>
      <w:r>
        <w:t xml:space="preserve">Patent Application (Chinese) -</w:t>
      </w:r>
      <w:r>
        <w:t xml:space="preserve"> </w:t>
      </w:r>
      <w:r>
        <w:rPr>
          <w:rStyle w:val="VerbatimChar"/>
          <w:rFonts w:hint="eastAsia"/>
        </w:rPr>
        <w:t xml:space="preserve">专利申请书_中文.md</w:t>
      </w:r>
    </w:p>
    <w:p>
      <w:pPr>
        <w:numPr>
          <w:ilvl w:val="0"/>
          <w:numId w:val="1002"/>
        </w:numPr>
      </w:pPr>
      <w:r>
        <w:t xml:space="preserve">Patent Application (English) -</w:t>
      </w:r>
      <w:r>
        <w:t xml:space="preserve"> </w:t>
      </w:r>
      <w:r>
        <w:rPr>
          <w:rStyle w:val="VerbatimChar"/>
        </w:rPr>
        <w:t xml:space="preserve">patent_draft.md</w:t>
      </w:r>
    </w:p>
    <w:p>
      <w:pPr>
        <w:numPr>
          <w:ilvl w:val="0"/>
          <w:numId w:val="1002"/>
        </w:numPr>
      </w:pPr>
      <w:r>
        <w:t xml:space="preserve">Technical Specification -</w:t>
      </w:r>
      <w:r>
        <w:t xml:space="preserve"> </w:t>
      </w:r>
      <w:r>
        <w:rPr>
          <w:rStyle w:val="VerbatimChar"/>
        </w:rPr>
        <w:t xml:space="preserve">technical_specification.md</w:t>
      </w:r>
    </w:p>
    <w:p>
      <w:pPr>
        <w:numPr>
          <w:ilvl w:val="0"/>
          <w:numId w:val="1002"/>
        </w:numPr>
      </w:pPr>
      <w:r>
        <w:t xml:space="preserve">Claims (English) -</w:t>
      </w:r>
      <w:r>
        <w:t xml:space="preserve"> </w:t>
      </w:r>
      <w:r>
        <w:rPr>
          <w:rStyle w:val="VerbatimChar"/>
        </w:rPr>
        <w:t xml:space="preserve">claims_EN.md</w:t>
      </w:r>
    </w:p>
    <w:p>
      <w:pPr>
        <w:numPr>
          <w:ilvl w:val="0"/>
          <w:numId w:val="1002"/>
        </w:numPr>
      </w:pPr>
      <w:r>
        <w:t xml:space="preserve">Abstract (Chinese) -</w:t>
      </w:r>
      <w:r>
        <w:t xml:space="preserve"> </w:t>
      </w:r>
      <w:r>
        <w:rPr>
          <w:rStyle w:val="VerbatimChar"/>
          <w:rFonts w:hint="eastAsia"/>
        </w:rPr>
        <w:t xml:space="preserve">摘要_中文.md</w:t>
      </w:r>
    </w:p>
    <w:p>
      <w:pPr>
        <w:numPr>
          <w:ilvl w:val="0"/>
          <w:numId w:val="1002"/>
        </w:numPr>
      </w:pPr>
      <w:r>
        <w:t xml:space="preserve">Abstract (English) - This document</w:t>
      </w:r>
    </w:p>
    <w:p>
      <w:pPr>
        <w:numPr>
          <w:ilvl w:val="0"/>
          <w:numId w:val="1002"/>
        </w:numPr>
      </w:pPr>
      <w:r>
        <w:t xml:space="preserve">Drawing Specifications -</w:t>
      </w:r>
      <w:r>
        <w:t xml:space="preserve"> </w:t>
      </w:r>
      <w:r>
        <w:rPr>
          <w:rStyle w:val="VerbatimChar"/>
        </w:rPr>
        <w:t xml:space="preserve">drawings_specification.md</w:t>
      </w:r>
    </w:p>
    <w:p>
      <w:pPr>
        <w:numPr>
          <w:ilvl w:val="0"/>
          <w:numId w:val="1002"/>
        </w:numPr>
      </w:pPr>
      <w:r>
        <w:t xml:space="preserve">Prior Art Search Report -</w:t>
      </w:r>
      <w:r>
        <w:t xml:space="preserve"> </w:t>
      </w:r>
      <w:r>
        <w:rPr>
          <w:rStyle w:val="VerbatimChar"/>
        </w:rPr>
        <w:t xml:space="preserve">prior_art_report.md</w:t>
      </w:r>
    </w:p>
    <w:p>
      <w:pPr>
        <w:numPr>
          <w:ilvl w:val="0"/>
          <w:numId w:val="1002"/>
        </w:numPr>
      </w:pPr>
      <w:r>
        <w:t xml:space="preserve">Experimental Data -</w:t>
      </w:r>
      <w:r>
        <w:t xml:space="preserve"> </w:t>
      </w:r>
      <w:r>
        <w:rPr>
          <w:rStyle w:val="VerbatimChar"/>
        </w:rPr>
        <w:t xml:space="preserve">experimental_data.md</w:t>
      </w:r>
    </w:p>
    <w:p>
      <w:r>
        <w:pict>
          <v:rect style="width:0;height:1.5pt" o:hralign="center" o:hrstd="t" o:hr="t"/>
        </w:pict>
      </w:r>
    </w:p>
    <w:bookmarkEnd w:id="14"/>
    <w:bookmarkStart w:id="15" w:name="word-count"/>
    <w:p>
      <w:pPr>
        <w:pStyle w:val="Heading3"/>
      </w:pPr>
      <w:r>
        <w:t xml:space="preserve">Word Count</w:t>
      </w:r>
    </w:p>
    <w:p>
      <w:pPr>
        <w:pStyle w:val="FirstParagraph"/>
      </w:pPr>
      <w:r>
        <w:t xml:space="preserve">Abstract body word count: ~150 words (compliant with USPTO</w:t>
      </w:r>
      <w:r>
        <w:t xml:space="preserve"> </w:t>
      </w:r>
      <w:r>
        <w:t xml:space="preserve">150-word limit)</w:t>
      </w:r>
    </w:p>
    <w:p>
      <w:r>
        <w:pict>
          <v:rect style="width:0;height:1.5pt" o:hralign="center" o:hrstd="t" o:hr="t"/>
        </w:pict>
      </w:r>
    </w:p>
    <w:bookmarkEnd w:id="15"/>
    <w:bookmarkStart w:id="16" w:name="priority-and-filing-strategy"/>
    <w:p>
      <w:pPr>
        <w:pStyle w:val="Heading3"/>
      </w:pPr>
      <w:r>
        <w:t xml:space="preserve">Priority and Filing</w:t>
      </w:r>
      <w:r>
        <w:t xml:space="preserve"> </w:t>
      </w:r>
      <w:r>
        <w:t xml:space="preserve">Strategy</w:t>
      </w:r>
    </w:p>
    <w:p>
      <w:pPr>
        <w:pStyle w:val="FirstParagraph"/>
      </w:pPr>
      <w:r>
        <w:rPr>
          <w:b/>
          <w:bCs/>
        </w:rPr>
        <w:t xml:space="preserve">Recommended Filing Sequence: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Initial Filing (China)</w:t>
      </w:r>
      <w:r>
        <w:t xml:space="preserve">: Submit to CNIPA to establish priority</w:t>
      </w:r>
      <w:r>
        <w:t xml:space="preserve"> </w:t>
      </w:r>
      <w:r>
        <w:t xml:space="preserve">date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PCT Application</w:t>
      </w:r>
      <w:r>
        <w:t xml:space="preserve">: File within 12 months claiming China</w:t>
      </w:r>
      <w:r>
        <w:t xml:space="preserve"> </w:t>
      </w:r>
      <w:r>
        <w:t xml:space="preserve">priority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National Phase</w:t>
      </w:r>
      <w:r>
        <w:t xml:space="preserve">: Enter US, EU, and other jurisdictions within</w:t>
      </w:r>
      <w:r>
        <w:t xml:space="preserve"> </w:t>
      </w:r>
      <w:r>
        <w:t xml:space="preserve">30/31 months</w:t>
      </w:r>
    </w:p>
    <w:p>
      <w:pPr>
        <w:pStyle w:val="FirstParagraph"/>
      </w:pPr>
      <w:r>
        <w:rPr>
          <w:b/>
          <w:bCs/>
        </w:rPr>
        <w:t xml:space="preserve">Priority Date</w:t>
      </w:r>
      <w:r>
        <w:t xml:space="preserve">:</w:t>
      </w:r>
      <w:r>
        <w:t xml:space="preserve"> </w:t>
      </w:r>
      <w:r>
        <w:t xml:space="preserve">[</w:t>
      </w:r>
      <w:r>
        <w:t xml:space="preserve">To be determined upon filing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abstract is prepared for international patent filing through</w:t>
      </w:r>
      <w:r>
        <w:rPr>
          <w:i/>
          <w:iCs/>
        </w:rPr>
        <w:t xml:space="preserve"> </w:t>
      </w:r>
      <w:r>
        <w:rPr>
          <w:i/>
          <w:iCs/>
        </w:rPr>
        <w:t xml:space="preserve">the PCT route. The Chinese application serves as the priority document.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2026-01-06T06:52:44Z</dcterms:created>
  <dcterms:modified xsi:type="dcterms:W3CDTF">2026-01-06T06:52:44Z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