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现有技术检索报告</w:t>
      </w:r>
      <w:r>
        <w:br/>
      </w:r>
      <w:r>
        <w:t xml:space="preserve">Prior Art Search Report</w:t>
      </w:r>
      <w:r>
        <w:br/>
      </w:r>
      <w:r>
        <w:t xml:space="preserve">量子安全门限 Falcon 签名系统</w:t>
      </w:r>
      <w:r>
        <w:br/>
      </w:r>
      <w:r>
        <w:t xml:space="preserve">Quantum-Secure Threshold Falcon Signature System</w:t>
      </w:r>
      <w:r>
        <w:br/>
      </w:r>
      <w:r>
        <w:t xml:space="preserve">中国移动通信有限公司研究院</w:t>
      </w:r>
      <w:r>
        <w:br/>
      </w:r>
    </w:p>
    <w:bookmarkStart w:id="21" w:name="检索参数-search-parameters"/>
    <w:p>
      <w:pPr>
        <w:pStyle w:val="Heading1"/>
      </w:pPr>
      <w:r>
        <w:t xml:space="preserve">检索参数 / Search Parameters</w:t>
      </w:r>
    </w:p>
    <w:tbl>
      <w:tblPr>
        <w:tblStyle w:val="Table"/>
        <w:tblW w:type="pct" w:w="0.0"/>
        <w:tblLook w:firstRow="1" w:lastRow="0" w:firstColumn="0" w:lastColumn="0" w:noHBand="0" w:noVBand="0" w:val="0020"/>
      </w:tblPr>
      <w:tblGrid/>
      <w:tr>
        <w:tc>
          <w:p>
            <w:pPr>
              <w:pStyle w:val="Compact"/>
              <w:jc w:val="left"/>
            </w:pPr>
            <w:r>
              <w:rPr>
                <w:bCs/>
                <w:b/>
              </w:rPr>
              <w:t xml:space="preserve">参数 / Parameter</w:t>
            </w:r>
          </w:p>
        </w:tc>
        <w:tc>
          <w:p>
            <w:pPr>
              <w:pStyle w:val="Compact"/>
              <w:jc w:val="left"/>
            </w:pPr>
            <w:r>
              <w:rPr>
                <w:bCs/>
                <w:b/>
              </w:rPr>
              <w:t xml:space="preserve">内容 / Value</w:t>
            </w:r>
          </w:p>
        </w:tc>
      </w:tr>
      <w:tr>
        <w:tc>
          <w:p>
            <w:pPr>
              <w:pStyle w:val="Compact"/>
              <w:jc w:val="left"/>
            </w:pPr>
            <w:r>
              <w:t xml:space="preserve">检索日期 / Search Date</w:t>
            </w:r>
          </w:p>
        </w:tc>
        <w:tc>
          <w:p>
            <w:pPr>
              <w:pStyle w:val="Compact"/>
              <w:jc w:val="left"/>
            </w:pPr>
            <w:r>
              <w:t xml:space="preserve">2025年12月 / December 2025</w:t>
            </w:r>
          </w:p>
        </w:tc>
      </w:tr>
      <w:tr>
        <w:tc>
          <w:p>
            <w:pPr>
              <w:pStyle w:val="Compact"/>
              <w:jc w:val="left"/>
            </w:pPr>
            <w:r>
              <w:t xml:space="preserve">检索数据库 / Databases</w:t>
            </w:r>
          </w:p>
        </w:tc>
        <w:tc>
          <w:p>
            <w:pPr>
              <w:pStyle w:val="Compact"/>
              <w:jc w:val="left"/>
            </w:pPr>
            <w:r>
              <w:t xml:space="preserve">USPTO, EPO, WIPO, CNIPA, Google Patents, IEEE Xplore, IACR ePrint</w:t>
            </w:r>
          </w:p>
        </w:tc>
      </w:tr>
      <w:tr>
        <w:tc>
          <w:p>
            <w:pPr>
              <w:pStyle w:val="Compact"/>
              <w:jc w:val="left"/>
            </w:pPr>
            <w:r>
              <w:t xml:space="preserve">检索时间范围 / Period</w:t>
            </w:r>
          </w:p>
        </w:tc>
        <w:tc>
          <w:p>
            <w:pPr>
              <w:pStyle w:val="Compact"/>
              <w:jc w:val="left"/>
            </w:pPr>
            <w:r>
              <w:t xml:space="preserve">2008-2025</w:t>
            </w:r>
          </w:p>
        </w:tc>
      </w:tr>
      <w:tr>
        <w:tc>
          <w:p>
            <w:pPr>
              <w:pStyle w:val="Compact"/>
              <w:jc w:val="left"/>
            </w:pPr>
            <w:r>
              <w:t xml:space="preserve">检索语言 / Languages</w:t>
            </w:r>
          </w:p>
        </w:tc>
        <w:tc>
          <w:p>
            <w:pPr>
              <w:pStyle w:val="Compact"/>
              <w:jc w:val="left"/>
            </w:pPr>
            <w:r>
              <w:t xml:space="preserve">英语 / English, 中文 / Chinese</w:t>
            </w:r>
          </w:p>
        </w:tc>
      </w:tr>
    </w:tbl>
    <w:bookmarkStart w:id="20" w:name="使用的关键词-keywords-used"/>
    <w:p>
      <w:pPr>
        <w:pStyle w:val="Heading2"/>
      </w:pPr>
      <w:r>
        <w:t xml:space="preserve">使用的关键词 / Keywords Used</w:t>
      </w:r>
    </w:p>
    <w:p>
      <w:pPr>
        <w:pStyle w:val="FirstParagraph"/>
      </w:pPr>
      <w:r>
        <w:rPr>
          <w:bCs/>
          <w:b/>
        </w:rPr>
        <w:t xml:space="preserve">英文关键词 / English Keywords:</w:t>
      </w:r>
    </w:p>
    <w:p>
      <w:pPr>
        <w:numPr>
          <w:ilvl w:val="0"/>
          <w:numId w:val="1001"/>
        </w:numPr>
      </w:pPr>
      <w:r>
        <w:t xml:space="preserve">Falcon signature, threshold signature, lattice cryptography</w:t>
      </w:r>
    </w:p>
    <w:p>
      <w:pPr>
        <w:numPr>
          <w:ilvl w:val="0"/>
          <w:numId w:val="1001"/>
        </w:numPr>
      </w:pPr>
      <w:r>
        <w:t xml:space="preserve">Post-quantum cryptography, NTRU, MPC signature</w:t>
      </w:r>
    </w:p>
    <w:p>
      <w:pPr>
        <w:numPr>
          <w:ilvl w:val="0"/>
          <w:numId w:val="1001"/>
        </w:numPr>
      </w:pPr>
      <w:r>
        <w:t xml:space="preserve">Distributed Gaussian sampling, NTT secret sharing</w:t>
      </w:r>
    </w:p>
    <w:p>
      <w:pPr>
        <w:numPr>
          <w:ilvl w:val="0"/>
          <w:numId w:val="1001"/>
        </w:numPr>
      </w:pPr>
      <w:r>
        <w:t xml:space="preserve">Cross-chain bridge security, quantum-safe blockchain</w:t>
      </w:r>
    </w:p>
    <w:p>
      <w:pPr>
        <w:pStyle w:val="FirstParagraph"/>
      </w:pPr>
      <w:r>
        <w:rPr>
          <w:bCs/>
          <w:b/>
        </w:rPr>
        <w:t xml:space="preserve">中文关键词 / Chinese Keywords:</w:t>
      </w:r>
    </w:p>
    <w:p>
      <w:pPr>
        <w:numPr>
          <w:ilvl w:val="0"/>
          <w:numId w:val="1002"/>
        </w:numPr>
      </w:pPr>
      <w:r>
        <w:t xml:space="preserve">Falcon签名, 门限签名, 格密码</w:t>
      </w:r>
    </w:p>
    <w:p>
      <w:pPr>
        <w:numPr>
          <w:ilvl w:val="0"/>
          <w:numId w:val="1002"/>
        </w:numPr>
      </w:pPr>
      <w:r>
        <w:t xml:space="preserve">后量子密码学, NTRU, 多方安全计算签名</w:t>
      </w:r>
    </w:p>
    <w:p>
      <w:pPr>
        <w:numPr>
          <w:ilvl w:val="0"/>
          <w:numId w:val="1002"/>
        </w:numPr>
      </w:pPr>
      <w:r>
        <w:t xml:space="preserve">分布式高斯采样, FFT秘密共享</w:t>
      </w:r>
    </w:p>
    <w:p>
      <w:pPr>
        <w:numPr>
          <w:ilvl w:val="0"/>
          <w:numId w:val="1002"/>
        </w:numPr>
      </w:pPr>
      <w:r>
        <w:t xml:space="preserve">跨链桥安全, 量子安全区块链</w:t>
      </w:r>
    </w:p>
    <w:bookmarkEnd w:id="20"/>
    <w:bookmarkEnd w:id="21"/>
    <w:bookmarkStart w:id="25" w:name="Xa4f3c59d79525f785d1f9930e58ab6e512e1385"/>
    <w:p>
      <w:pPr>
        <w:pStyle w:val="Heading1"/>
      </w:pPr>
      <w:r>
        <w:t xml:space="preserve">A类：基础性现有技术 / Category A: Foundational Prior Art</w:t>
      </w:r>
    </w:p>
    <w:bookmarkStart w:id="22" w:name="a1.-falcon-算法标准"/>
    <w:p>
      <w:pPr>
        <w:pStyle w:val="Heading2"/>
      </w:pPr>
      <w:r>
        <w:t xml:space="preserve">A1. Falcon 算法标准</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Fouque, P.A., Hoffstein, J., Kirchner, P., et al.</w:t>
            </w:r>
          </w:p>
        </w:tc>
      </w:tr>
      <w:tr>
        <w:tc>
          <w:p>
            <w:pPr>
              <w:pStyle w:val="Compact"/>
              <w:jc w:val="left"/>
            </w:pPr>
            <w:r>
              <w:rPr>
                <w:bCs/>
                <w:b/>
              </w:rPr>
              <w:t xml:space="preserve">标题</w:t>
            </w:r>
          </w:p>
        </w:tc>
        <w:tc>
          <w:p>
            <w:pPr>
              <w:pStyle w:val="Compact"/>
              <w:jc w:val="left"/>
            </w:pPr>
            <w:r>
              <w:t xml:space="preserve">"Falcon: Fast-Fourier Lattice-based Compact Signatures over NTRU"</w:t>
            </w:r>
          </w:p>
        </w:tc>
      </w:tr>
      <w:tr>
        <w:tc>
          <w:p>
            <w:pPr>
              <w:pStyle w:val="Compact"/>
              <w:jc w:val="left"/>
            </w:pPr>
            <w:r>
              <w:rPr>
                <w:bCs/>
                <w:b/>
              </w:rPr>
              <w:t xml:space="preserve">来源</w:t>
            </w:r>
          </w:p>
        </w:tc>
        <w:tc>
          <w:p>
            <w:pPr>
              <w:pStyle w:val="Compact"/>
              <w:jc w:val="left"/>
            </w:pPr>
            <w:r>
              <w:t xml:space="preserve">NIST Post-Quantum Cryptography Standardization (Round 3), 2020</w:t>
            </w:r>
          </w:p>
        </w:tc>
      </w:tr>
      <w:tr>
        <w:tc>
          <w:p>
            <w:pPr>
              <w:pStyle w:val="Compact"/>
              <w:jc w:val="left"/>
            </w:pPr>
            <w:r>
              <w:rPr>
                <w:bCs/>
                <w:b/>
              </w:rPr>
              <w:t xml:space="preserve">类型</w:t>
            </w:r>
          </w:p>
        </w:tc>
        <w:tc>
          <w:p>
            <w:pPr>
              <w:pStyle w:val="Compact"/>
              <w:jc w:val="left"/>
            </w:pPr>
            <w:r>
              <w:t xml:space="preserve">技术标准 / 算法规范</w:t>
            </w:r>
          </w:p>
        </w:tc>
      </w:tr>
    </w:tbl>
    <w:p>
      <w:pPr>
        <w:pStyle w:val="BodyText"/>
      </w:pPr>
      <w:r>
        <w:rPr>
          <w:bCs/>
          <w:b/>
        </w:rPr>
        <w:t xml:space="preserve">与本发明的相关性分析：</w:t>
      </w:r>
    </w:p>
    <w:tbl>
      <w:tblPr>
        <w:tblStyle w:val="Table"/>
        <w:tblW w:type="pct" w:w="0.0"/>
        <w:tblLook w:firstRow="1" w:lastRow="0" w:firstColumn="0" w:lastColumn="0" w:noHBand="0" w:noVBand="0" w:val="0020"/>
      </w:tblPr>
      <w:tblGrid/>
      <w:tr>
        <w:tc>
          <w:p>
            <w:pPr>
              <w:pStyle w:val="Compact"/>
              <w:jc w:val="left"/>
            </w:pPr>
            <w:r>
              <w:rPr>
                <w:bCs/>
                <w:b/>
              </w:rPr>
              <w:t xml:space="preserve">方面</w:t>
            </w:r>
          </w:p>
        </w:tc>
        <w:tc>
          <w:p>
            <w:pPr>
              <w:pStyle w:val="Compact"/>
              <w:jc w:val="left"/>
            </w:pPr>
            <w:r>
              <w:rPr>
                <w:bCs/>
                <w:b/>
              </w:rPr>
              <w:t xml:space="preserve">现有技术</w:t>
            </w:r>
          </w:p>
        </w:tc>
        <w:tc>
          <w:p>
            <w:pPr>
              <w:pStyle w:val="Compact"/>
              <w:jc w:val="left"/>
            </w:pPr>
            <w:r>
              <w:rPr>
                <w:bCs/>
                <w:b/>
              </w:rPr>
              <w:t xml:space="preserve">本发明</w:t>
            </w:r>
          </w:p>
        </w:tc>
        <w:tc>
          <w:p>
            <w:pPr>
              <w:pStyle w:val="Compact"/>
              <w:jc w:val="left"/>
            </w:pPr>
            <w:r>
              <w:rPr>
                <w:bCs/>
                <w:b/>
              </w:rPr>
              <w:t xml:space="preserve">区别</w:t>
            </w:r>
          </w:p>
        </w:tc>
      </w:tr>
      <w:tr>
        <w:tc>
          <w:p>
            <w:pPr>
              <w:pStyle w:val="Compact"/>
              <w:jc w:val="left"/>
            </w:pPr>
            <w:r>
              <w:t xml:space="preserve">实现方式</w:t>
            </w:r>
          </w:p>
        </w:tc>
        <w:tc>
          <w:p>
            <w:pPr>
              <w:pStyle w:val="Compact"/>
              <w:jc w:val="left"/>
            </w:pPr>
            <w:r>
              <w:t xml:space="preserve">单签名者</w:t>
            </w:r>
          </w:p>
        </w:tc>
        <w:tc>
          <w:p>
            <w:pPr>
              <w:pStyle w:val="Compact"/>
              <w:jc w:val="left"/>
            </w:pPr>
            <w:r>
              <w:t xml:space="preserve">多方门限</w:t>
            </w:r>
          </w:p>
        </w:tc>
        <w:tc>
          <w:p>
            <w:pPr>
              <w:pStyle w:val="Compact"/>
              <w:jc w:val="left"/>
            </w:pPr>
            <w:r>
              <w:t xml:space="preserve">新架构</w:t>
            </w:r>
          </w:p>
        </w:tc>
      </w:tr>
      <w:tr>
        <w:tc>
          <w:p>
            <w:pPr>
              <w:pStyle w:val="Compact"/>
              <w:jc w:val="left"/>
            </w:pPr>
            <w:r>
              <w:t xml:space="preserve">密钥管理</w:t>
            </w:r>
          </w:p>
        </w:tc>
        <w:tc>
          <w:p>
            <w:pPr>
              <w:pStyle w:val="Compact"/>
              <w:jc w:val="left"/>
            </w:pPr>
            <w:r>
              <w:t xml:space="preserve">集中式</w:t>
            </w:r>
          </w:p>
        </w:tc>
        <w:tc>
          <w:p>
            <w:pPr>
              <w:pStyle w:val="Compact"/>
              <w:jc w:val="left"/>
            </w:pPr>
            <w:r>
              <w:t xml:space="preserve">分布式分片</w:t>
            </w:r>
          </w:p>
        </w:tc>
        <w:tc>
          <w:p>
            <w:pPr>
              <w:pStyle w:val="Compact"/>
              <w:jc w:val="left"/>
            </w:pPr>
            <w:r>
              <w:t xml:space="preserve">新贡献</w:t>
            </w:r>
          </w:p>
        </w:tc>
      </w:tr>
      <w:tr>
        <w:tc>
          <w:p>
            <w:pPr>
              <w:pStyle w:val="Compact"/>
              <w:jc w:val="left"/>
            </w:pPr>
            <w:r>
              <w:t xml:space="preserve">高斯采样</w:t>
            </w:r>
          </w:p>
        </w:tc>
        <w:tc>
          <w:p>
            <w:pPr>
              <w:pStyle w:val="Compact"/>
              <w:jc w:val="left"/>
            </w:pPr>
            <w:r>
              <w:t xml:space="preserve">直接采样</w:t>
            </w:r>
          </w:p>
        </w:tc>
        <w:tc>
          <w:p>
            <w:pPr>
              <w:pStyle w:val="Compact"/>
              <w:jc w:val="left"/>
            </w:pPr>
            <w:r>
              <w:t xml:space="preserve">协作采样</w:t>
            </w:r>
          </w:p>
        </w:tc>
        <w:tc>
          <w:p>
            <w:pPr>
              <w:pStyle w:val="Compact"/>
              <w:jc w:val="left"/>
            </w:pPr>
            <w:r>
              <w:t xml:space="preserve">核心创新</w:t>
            </w:r>
          </w:p>
        </w:tc>
      </w:tr>
    </w:tbl>
    <w:p>
      <w:pPr>
        <w:pStyle w:val="BodyText"/>
      </w:pPr>
      <w:r>
        <w:rPr>
          <w:bCs/>
          <w:b/>
        </w:rPr>
        <w:t xml:space="preserve">分析</w:t>
      </w:r>
      <w:r>
        <w:t xml:space="preserve">：该文献定义了标准 Falcon 算法，但未涉及门限/分布式实现。本发明将 Falcon 扩展到 MPC 环境，这在该现有技术中未公开或建议。</w:t>
      </w:r>
    </w:p>
    <w:bookmarkEnd w:id="22"/>
    <w:bookmarkStart w:id="23" w:name="a2.-格陷门理论"/>
    <w:p>
      <w:pPr>
        <w:pStyle w:val="Heading2"/>
      </w:pPr>
      <w:r>
        <w:t xml:space="preserve">A2. 格陷门理论</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Gentry, C., Peikert, C., &amp; Vaikuntanathan, V.</w:t>
            </w:r>
          </w:p>
        </w:tc>
      </w:tr>
      <w:tr>
        <w:tc>
          <w:p>
            <w:pPr>
              <w:pStyle w:val="Compact"/>
              <w:jc w:val="left"/>
            </w:pPr>
            <w:r>
              <w:rPr>
                <w:bCs/>
                <w:b/>
              </w:rPr>
              <w:t xml:space="preserve">标题</w:t>
            </w:r>
          </w:p>
        </w:tc>
        <w:tc>
          <w:p>
            <w:pPr>
              <w:pStyle w:val="Compact"/>
              <w:jc w:val="left"/>
            </w:pPr>
            <w:r>
              <w:t xml:space="preserve">"Trapdoors for Hard Lattices and New Cryptographic Constructions"</w:t>
            </w:r>
          </w:p>
        </w:tc>
      </w:tr>
      <w:tr>
        <w:tc>
          <w:p>
            <w:pPr>
              <w:pStyle w:val="Compact"/>
              <w:jc w:val="left"/>
            </w:pPr>
            <w:r>
              <w:rPr>
                <w:bCs/>
                <w:b/>
              </w:rPr>
              <w:t xml:space="preserve">来源</w:t>
            </w:r>
          </w:p>
        </w:tc>
        <w:tc>
          <w:p>
            <w:pPr>
              <w:pStyle w:val="Compact"/>
              <w:jc w:val="left"/>
            </w:pPr>
            <w:r>
              <w:t xml:space="preserve">STOC 2008, pp. 197-206, ACM</w:t>
            </w:r>
          </w:p>
        </w:tc>
      </w:tr>
    </w:tbl>
    <w:p>
      <w:pPr>
        <w:pStyle w:val="BodyText"/>
      </w:pPr>
      <w:r>
        <w:rPr>
          <w:bCs/>
          <w:b/>
        </w:rPr>
        <w:t xml:space="preserve">相关性</w:t>
      </w:r>
      <w:r>
        <w:t xml:space="preserve">：</w:t>
      </w:r>
    </w:p>
    <w:p>
      <w:pPr>
        <w:numPr>
          <w:ilvl w:val="0"/>
          <w:numId w:val="1003"/>
        </w:numPr>
      </w:pPr>
      <w:r>
        <w:t xml:space="preserve">建立了格陷门的理论基础</w:t>
      </w:r>
    </w:p>
    <w:p>
      <w:pPr>
        <w:numPr>
          <w:ilvl w:val="0"/>
          <w:numId w:val="1003"/>
        </w:numPr>
      </w:pPr>
      <w:r>
        <w:t xml:space="preserve">提供了基于格签名的 GPV 框架</w:t>
      </w:r>
    </w:p>
    <w:p>
      <w:pPr>
        <w:numPr>
          <w:ilvl w:val="0"/>
          <w:numId w:val="1003"/>
        </w:numPr>
      </w:pPr>
      <w:r>
        <w:rPr>
          <w:bCs/>
          <w:b/>
        </w:rPr>
        <w:t xml:space="preserve">未涉及</w:t>
      </w:r>
      <w:r>
        <w:t xml:space="preserve">分布式/门限陷门生成</w:t>
      </w:r>
    </w:p>
    <w:p>
      <w:pPr>
        <w:pStyle w:val="FirstParagraph"/>
      </w:pPr>
      <w:r>
        <w:rPr>
          <w:bCs/>
          <w:b/>
        </w:rPr>
        <w:t xml:space="preserve">区别</w:t>
      </w:r>
      <w:r>
        <w:t xml:space="preserve">：本发明专门解决了如何在多方之间以分布式方式生成和使用 NTRU 陷门，这在 GPV 的单方构造中未涵盖。</w:t>
      </w:r>
    </w:p>
    <w:bookmarkEnd w:id="23"/>
    <w:bookmarkStart w:id="24" w:name="a3.-门限密码学框架"/>
    <w:p>
      <w:pPr>
        <w:pStyle w:val="Heading2"/>
      </w:pPr>
      <w:r>
        <w:t xml:space="preserve">A3. 门限密码学框架</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Boneh, D., Gennaro, R., Goldfeder, S., et al.</w:t>
            </w:r>
          </w:p>
        </w:tc>
      </w:tr>
      <w:tr>
        <w:tc>
          <w:p>
            <w:pPr>
              <w:pStyle w:val="Compact"/>
              <w:jc w:val="left"/>
            </w:pPr>
            <w:r>
              <w:rPr>
                <w:bCs/>
                <w:b/>
              </w:rPr>
              <w:t xml:space="preserve">标题</w:t>
            </w:r>
          </w:p>
        </w:tc>
        <w:tc>
          <w:p>
            <w:pPr>
              <w:pStyle w:val="Compact"/>
              <w:jc w:val="left"/>
            </w:pPr>
            <w:r>
              <w:t xml:space="preserve">"Threshold Cryptosystems From Threshold Fully Homomorphic Encryption"</w:t>
            </w:r>
          </w:p>
        </w:tc>
      </w:tr>
      <w:tr>
        <w:tc>
          <w:p>
            <w:pPr>
              <w:pStyle w:val="Compact"/>
              <w:jc w:val="left"/>
            </w:pPr>
            <w:r>
              <w:rPr>
                <w:bCs/>
                <w:b/>
              </w:rPr>
              <w:t xml:space="preserve">来源</w:t>
            </w:r>
          </w:p>
        </w:tc>
        <w:tc>
          <w:p>
            <w:pPr>
              <w:pStyle w:val="Compact"/>
              <w:jc w:val="left"/>
            </w:pPr>
            <w:r>
              <w:t xml:space="preserve">CRYPTO 2018, LNCS 10991, Springer</w:t>
            </w:r>
          </w:p>
        </w:tc>
      </w:tr>
    </w:tbl>
    <w:p>
      <w:pPr>
        <w:pStyle w:val="BodyText"/>
      </w:pPr>
      <w:r>
        <w:rPr>
          <w:bCs/>
          <w:b/>
        </w:rPr>
        <w:t xml:space="preserve">与本发明对比：</w:t>
      </w:r>
    </w:p>
    <w:tbl>
      <w:tblPr>
        <w:tblStyle w:val="Table"/>
        <w:tblW w:type="pct" w:w="0.0"/>
        <w:tblLook w:firstRow="1" w:lastRow="0" w:firstColumn="0" w:lastColumn="0" w:noHBand="0" w:noVBand="0" w:val="0020"/>
      </w:tblPr>
      <w:tblGrid/>
      <w:tr>
        <w:tc>
          <w:p>
            <w:pPr>
              <w:pStyle w:val="Compact"/>
              <w:jc w:val="left"/>
            </w:pPr>
            <w:r>
              <w:rPr>
                <w:bCs/>
                <w:b/>
              </w:rPr>
              <w:t xml:space="preserve">方面</w:t>
            </w:r>
          </w:p>
        </w:tc>
        <w:tc>
          <w:p>
            <w:pPr>
              <w:pStyle w:val="Compact"/>
              <w:jc w:val="left"/>
            </w:pPr>
            <w:r>
              <w:rPr>
                <w:bCs/>
                <w:b/>
              </w:rPr>
              <w:t xml:space="preserve">现有技术</w:t>
            </w:r>
          </w:p>
        </w:tc>
        <w:tc>
          <w:p>
            <w:pPr>
              <w:pStyle w:val="Compact"/>
              <w:jc w:val="left"/>
            </w:pPr>
            <w:r>
              <w:rPr>
                <w:bCs/>
                <w:b/>
              </w:rPr>
              <w:t xml:space="preserve">本发明</w:t>
            </w:r>
          </w:p>
        </w:tc>
      </w:tr>
      <w:tr>
        <w:tc>
          <w:p>
            <w:pPr>
              <w:pStyle w:val="Compact"/>
              <w:jc w:val="left"/>
            </w:pPr>
            <w:r>
              <w:t xml:space="preserve">方法</w:t>
            </w:r>
          </w:p>
        </w:tc>
        <w:tc>
          <w:p>
            <w:pPr>
              <w:pStyle w:val="Compact"/>
              <w:jc w:val="left"/>
            </w:pPr>
            <w:r>
              <w:t xml:space="preserve">基于通用 FHE</w:t>
            </w:r>
          </w:p>
        </w:tc>
        <w:tc>
          <w:p>
            <w:pPr>
              <w:pStyle w:val="Compact"/>
              <w:jc w:val="left"/>
            </w:pPr>
            <w:r>
              <w:t xml:space="preserve">Falcon 特定优化</w:t>
            </w:r>
          </w:p>
        </w:tc>
      </w:tr>
      <w:tr>
        <w:tc>
          <w:p>
            <w:pPr>
              <w:pStyle w:val="Compact"/>
              <w:jc w:val="left"/>
            </w:pPr>
            <w:r>
              <w:t xml:space="preserve">效率</w:t>
            </w:r>
          </w:p>
        </w:tc>
        <w:tc>
          <w:p>
            <w:pPr>
              <w:pStyle w:val="Compact"/>
              <w:jc w:val="left"/>
            </w:pPr>
            <w:r>
              <w:t xml:space="preserve">FHE 开销高</w:t>
            </w:r>
          </w:p>
        </w:tc>
        <w:tc>
          <w:p>
            <w:pPr>
              <w:pStyle w:val="Compact"/>
              <w:jc w:val="left"/>
            </w:pPr>
            <w:r>
              <w:t xml:space="preserve">低开销算术共享</w:t>
            </w:r>
          </w:p>
        </w:tc>
      </w:tr>
      <w:tr>
        <w:tc>
          <w:p>
            <w:pPr>
              <w:pStyle w:val="Compact"/>
              <w:jc w:val="left"/>
            </w:pPr>
            <w:r>
              <w:t xml:space="preserve">通信</w:t>
            </w:r>
          </w:p>
        </w:tc>
        <w:tc>
          <w:p>
            <w:pPr>
              <w:pStyle w:val="Compact"/>
              <w:jc w:val="left"/>
            </w:pPr>
            <w:r>
              <w:t xml:space="preserve">取决于 FHE 方案</w:t>
            </w:r>
          </w:p>
        </w:tc>
        <w:tc>
          <w:p>
            <w:pPr>
              <w:pStyle w:val="Compact"/>
              <w:jc w:val="left"/>
            </w:pPr>
            <w:r>
              <w:t xml:space="preserve">O(1) 轮</w:t>
            </w:r>
          </w:p>
        </w:tc>
      </w:tr>
      <w:tr>
        <w:tc>
          <w:p>
            <w:pPr>
              <w:pStyle w:val="Compact"/>
              <w:jc w:val="left"/>
            </w:pPr>
            <w:r>
              <w:t xml:space="preserve">采样</w:t>
            </w:r>
          </w:p>
        </w:tc>
        <w:tc>
          <w:p>
            <w:pPr>
              <w:pStyle w:val="Compact"/>
              <w:jc w:val="left"/>
            </w:pPr>
            <w:r>
              <w:t xml:space="preserve">通用采样</w:t>
            </w:r>
          </w:p>
        </w:tc>
        <w:tc>
          <w:p>
            <w:pPr>
              <w:pStyle w:val="Compact"/>
              <w:jc w:val="left"/>
            </w:pPr>
            <w:r>
              <w:rPr>
                <w:bCs/>
                <w:b/>
              </w:rPr>
              <w:t xml:space="preserve">分布式高斯卷积</w:t>
            </w:r>
          </w:p>
        </w:tc>
      </w:tr>
    </w:tbl>
    <w:p>
      <w:pPr>
        <w:pStyle w:val="BodyText"/>
      </w:pPr>
      <w:r>
        <w:rPr>
          <w:bCs/>
          <w:b/>
        </w:rPr>
        <w:t xml:space="preserve">区别</w:t>
      </w:r>
      <w:r>
        <w:t xml:space="preserve">：Boneh 等人提供了使用全同态加密的通用门限密码学框架，但未解决 Falcon 特有的</w:t>
      </w:r>
      <w:r>
        <w:rPr>
          <w:bCs/>
          <w:b/>
        </w:rPr>
        <w:t xml:space="preserve">高斯采样</w:t>
      </w:r>
      <w:r>
        <w:t xml:space="preserve">挑战。本发明通过"方差保持聚合"技术和"协同拒绝采样"解决此问题，完全避免了采样阶段使用 FHE。</w:t>
      </w:r>
    </w:p>
    <w:bookmarkEnd w:id="24"/>
    <w:bookmarkEnd w:id="25"/>
    <w:bookmarkStart w:id="29" w:name="X6d5861a6cb6b1d3bb0fb00b47d7c75a25140546"/>
    <w:p>
      <w:pPr>
        <w:pStyle w:val="Heading1"/>
      </w:pPr>
      <w:r>
        <w:t xml:space="preserve">B类：相关门限签名现有技术 / Category B: Related Threshold Signature Prior Art</w:t>
      </w:r>
    </w:p>
    <w:bookmarkStart w:id="26" w:name="b1.-threshold-dilithium"/>
    <w:p>
      <w:pPr>
        <w:pStyle w:val="Heading2"/>
      </w:pPr>
      <w:r>
        <w:t xml:space="preserve">B1. Threshold Dilithium</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Cozzo, D. &amp; Smart, N.P.</w:t>
            </w:r>
          </w:p>
        </w:tc>
      </w:tr>
      <w:tr>
        <w:tc>
          <w:p>
            <w:pPr>
              <w:pStyle w:val="Compact"/>
              <w:jc w:val="left"/>
            </w:pPr>
            <w:r>
              <w:rPr>
                <w:bCs/>
                <w:b/>
              </w:rPr>
              <w:t xml:space="preserve">标题</w:t>
            </w:r>
          </w:p>
        </w:tc>
        <w:tc>
          <w:p>
            <w:pPr>
              <w:pStyle w:val="Compact"/>
              <w:jc w:val="left"/>
            </w:pPr>
            <w:r>
              <w:t xml:space="preserve">"Sharing the LUOV: Threshold Post-Quantum Signatures"</w:t>
            </w:r>
          </w:p>
        </w:tc>
      </w:tr>
      <w:tr>
        <w:tc>
          <w:p>
            <w:pPr>
              <w:pStyle w:val="Compact"/>
              <w:jc w:val="left"/>
            </w:pPr>
            <w:r>
              <w:rPr>
                <w:bCs/>
                <w:b/>
              </w:rPr>
              <w:t xml:space="preserve">来源</w:t>
            </w:r>
          </w:p>
        </w:tc>
        <w:tc>
          <w:p>
            <w:pPr>
              <w:pStyle w:val="Compact"/>
              <w:jc w:val="left"/>
            </w:pPr>
            <w:r>
              <w:t xml:space="preserve">IMA International Conference on Cryptography and Coding 2019, Springer</w:t>
            </w:r>
          </w:p>
        </w:tc>
      </w:tr>
    </w:tbl>
    <w:p>
      <w:pPr>
        <w:pStyle w:val="BodyText"/>
      </w:pPr>
      <w:r>
        <w:rPr>
          <w:bCs/>
          <w:b/>
        </w:rPr>
        <w:t xml:space="preserve">相关性</w:t>
      </w:r>
      <w:r>
        <w:t xml:space="preserve">：</w:t>
      </w:r>
    </w:p>
    <w:p>
      <w:pPr>
        <w:numPr>
          <w:ilvl w:val="0"/>
          <w:numId w:val="1004"/>
        </w:numPr>
      </w:pPr>
      <w:r>
        <w:t xml:space="preserve">涉及后量子门限签名</w:t>
      </w:r>
    </w:p>
    <w:p>
      <w:pPr>
        <w:numPr>
          <w:ilvl w:val="0"/>
          <w:numId w:val="1004"/>
        </w:numPr>
      </w:pPr>
      <w:r>
        <w:t xml:space="preserve">关注 LUOV 和 Dilithium，而非 Falcon</w:t>
      </w:r>
    </w:p>
    <w:p>
      <w:pPr>
        <w:numPr>
          <w:ilvl w:val="0"/>
          <w:numId w:val="1004"/>
        </w:numPr>
      </w:pPr>
      <w:r>
        <w:t xml:space="preserve">每次签名通信复杂度 O(n)</w:t>
      </w:r>
    </w:p>
    <w:p>
      <w:pPr>
        <w:pStyle w:val="FirstParagraph"/>
      </w:pPr>
      <w:r>
        <w:rPr>
          <w:bCs/>
          <w:b/>
        </w:rPr>
        <w:t xml:space="preserve">区别</w:t>
      </w:r>
      <w:r>
        <w:t xml:space="preserve">：本发明为 Falcon 实现 O(1) 通信轮次，而该现有技术对不同算法具有 O(n) 复杂度。</w:t>
      </w:r>
    </w:p>
    <w:bookmarkEnd w:id="26"/>
    <w:bookmarkStart w:id="27" w:name="b2.-基于格的-mpc-签名"/>
    <w:p>
      <w:pPr>
        <w:pStyle w:val="Heading2"/>
      </w:pPr>
      <w:r>
        <w:t xml:space="preserve">B2. 基于格的 MPC 签名</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Damgård, I., Orlandi, C., Takahashi, A., &amp; Tibouchi, M.</w:t>
            </w:r>
          </w:p>
        </w:tc>
      </w:tr>
      <w:tr>
        <w:tc>
          <w:p>
            <w:pPr>
              <w:pStyle w:val="Compact"/>
              <w:jc w:val="left"/>
            </w:pPr>
            <w:r>
              <w:rPr>
                <w:bCs/>
                <w:b/>
              </w:rPr>
              <w:t xml:space="preserve">标题</w:t>
            </w:r>
          </w:p>
        </w:tc>
        <w:tc>
          <w:p>
            <w:pPr>
              <w:pStyle w:val="Compact"/>
              <w:jc w:val="left"/>
            </w:pPr>
            <w:r>
              <w:t xml:space="preserve">"Two-Round n-out-of-n and Multi-Signatures and Trapdoor Commitment from Lattices"</w:t>
            </w:r>
          </w:p>
        </w:tc>
      </w:tr>
      <w:tr>
        <w:tc>
          <w:p>
            <w:pPr>
              <w:pStyle w:val="Compact"/>
              <w:jc w:val="left"/>
            </w:pPr>
            <w:r>
              <w:rPr>
                <w:bCs/>
                <w:b/>
              </w:rPr>
              <w:t xml:space="preserve">来源</w:t>
            </w:r>
          </w:p>
        </w:tc>
        <w:tc>
          <w:p>
            <w:pPr>
              <w:pStyle w:val="Compact"/>
              <w:jc w:val="left"/>
            </w:pPr>
            <w:r>
              <w:t xml:space="preserve">PKC 2021, Springer</w:t>
            </w:r>
          </w:p>
        </w:tc>
      </w:tr>
    </w:tbl>
    <w:p>
      <w:pPr>
        <w:pStyle w:val="BodyText"/>
      </w:pPr>
      <w:r>
        <w:rPr>
          <w:bCs/>
          <w:b/>
        </w:rPr>
        <w:t xml:space="preserve">相关性</w:t>
      </w:r>
      <w:r>
        <w:t xml:space="preserve">：</w:t>
      </w:r>
    </w:p>
    <w:p>
      <w:pPr>
        <w:numPr>
          <w:ilvl w:val="0"/>
          <w:numId w:val="1005"/>
        </w:numPr>
      </w:pPr>
      <w:r>
        <w:t xml:space="preserve">提出基于格的多签名方案</w:t>
      </w:r>
    </w:p>
    <w:p>
      <w:pPr>
        <w:numPr>
          <w:ilvl w:val="0"/>
          <w:numId w:val="1005"/>
        </w:numPr>
      </w:pPr>
      <w:r>
        <w:t xml:space="preserve">使用不同方法（带中止的 Fiat-Shamir）</w:t>
      </w:r>
    </w:p>
    <w:p>
      <w:pPr>
        <w:numPr>
          <w:ilvl w:val="0"/>
          <w:numId w:val="1005"/>
        </w:numPr>
      </w:pPr>
      <w:r>
        <w:t xml:space="preserve">未涉及 Falcon 特有的 NTRU 结构</w:t>
      </w:r>
    </w:p>
    <w:p>
      <w:pPr>
        <w:pStyle w:val="FirstParagraph"/>
      </w:pPr>
      <w:r>
        <w:rPr>
          <w:bCs/>
          <w:b/>
        </w:rPr>
        <w:t xml:space="preserve">区别</w:t>
      </w:r>
      <w:r>
        <w:t xml:space="preserve">：该工作关注类 Dilithium 构造。本发明专门利用 NTRU 的代数结构实现高效门限 Falcon 实现。</w:t>
      </w:r>
    </w:p>
    <w:bookmarkEnd w:id="27"/>
    <w:bookmarkStart w:id="28" w:name="b3.-经典门限-ecdsa"/>
    <w:p>
      <w:pPr>
        <w:pStyle w:val="Heading2"/>
      </w:pPr>
      <w:r>
        <w:t xml:space="preserve">B3. 经典门限 ECDSA</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Gennaro, R. &amp; Goldfeder, S.</w:t>
            </w:r>
          </w:p>
        </w:tc>
      </w:tr>
      <w:tr>
        <w:tc>
          <w:p>
            <w:pPr>
              <w:pStyle w:val="Compact"/>
              <w:jc w:val="left"/>
            </w:pPr>
            <w:r>
              <w:rPr>
                <w:bCs/>
                <w:b/>
              </w:rPr>
              <w:t xml:space="preserve">标题</w:t>
            </w:r>
          </w:p>
        </w:tc>
        <w:tc>
          <w:p>
            <w:pPr>
              <w:pStyle w:val="Compact"/>
              <w:jc w:val="left"/>
            </w:pPr>
            <w:r>
              <w:t xml:space="preserve">"Fast Multiparty Threshold ECDSA with Fast Trustless Setup"</w:t>
            </w:r>
          </w:p>
        </w:tc>
      </w:tr>
      <w:tr>
        <w:tc>
          <w:p>
            <w:pPr>
              <w:pStyle w:val="Compact"/>
              <w:jc w:val="left"/>
            </w:pPr>
            <w:r>
              <w:rPr>
                <w:bCs/>
                <w:b/>
              </w:rPr>
              <w:t xml:space="preserve">来源</w:t>
            </w:r>
          </w:p>
        </w:tc>
        <w:tc>
          <w:p>
            <w:pPr>
              <w:pStyle w:val="Compact"/>
              <w:jc w:val="left"/>
            </w:pPr>
            <w:r>
              <w:t xml:space="preserve">CCS 2018, ACM</w:t>
            </w:r>
          </w:p>
        </w:tc>
      </w:tr>
    </w:tbl>
    <w:p>
      <w:pPr>
        <w:pStyle w:val="BodyText"/>
      </w:pPr>
      <w:r>
        <w:rPr>
          <w:bCs/>
          <w:b/>
        </w:rPr>
        <w:t xml:space="preserve">相关性</w:t>
      </w:r>
      <w:r>
        <w:t xml:space="preserve">：</w:t>
      </w:r>
    </w:p>
    <w:p>
      <w:pPr>
        <w:numPr>
          <w:ilvl w:val="0"/>
          <w:numId w:val="1006"/>
        </w:numPr>
      </w:pPr>
      <w:r>
        <w:t xml:space="preserve">最先进的经典门限签名</w:t>
      </w:r>
    </w:p>
    <w:p>
      <w:pPr>
        <w:numPr>
          <w:ilvl w:val="0"/>
          <w:numId w:val="1006"/>
        </w:numPr>
      </w:pPr>
      <w:r>
        <w:rPr>
          <w:bCs/>
          <w:b/>
        </w:rPr>
        <w:t xml:space="preserve">不抗量子</w:t>
      </w:r>
    </w:p>
    <w:p>
      <w:pPr>
        <w:numPr>
          <w:ilvl w:val="0"/>
          <w:numId w:val="1006"/>
        </w:numPr>
      </w:pPr>
      <w:r>
        <w:t xml:space="preserve">不同的数学结构（椭圆曲线 vs. 格）</w:t>
      </w:r>
    </w:p>
    <w:p>
      <w:pPr>
        <w:pStyle w:val="FirstParagraph"/>
      </w:pPr>
      <w:r>
        <w:rPr>
          <w:bCs/>
          <w:b/>
        </w:rPr>
        <w:t xml:space="preserve">区别</w:t>
      </w:r>
      <w:r>
        <w:t xml:space="preserve">：本发明通过基于格的构造提供量子抗性，解决了基于 ECDSA 方法的根本安全限制。</w:t>
      </w:r>
    </w:p>
    <w:bookmarkEnd w:id="28"/>
    <w:bookmarkEnd w:id="29"/>
    <w:bookmarkStart w:id="32" w:name="Xd005ff770547405dff1745a6ebc7c0c682516a4"/>
    <w:p>
      <w:pPr>
        <w:pStyle w:val="Heading1"/>
      </w:pPr>
      <w:r>
        <w:t xml:space="preserve">C类：MPC 协议现有技术 / Category C: MPC Protocol Prior Art</w:t>
      </w:r>
    </w:p>
    <w:bookmarkStart w:id="30" w:name="c1.-spdz-协议"/>
    <w:p>
      <w:pPr>
        <w:pStyle w:val="Heading2"/>
      </w:pPr>
      <w:r>
        <w:t xml:space="preserve">C1. SPDZ 协议</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Damgård, I., Pastro, V., Smart, N.P., &amp; Zakarias, S.</w:t>
            </w:r>
          </w:p>
        </w:tc>
      </w:tr>
      <w:tr>
        <w:tc>
          <w:p>
            <w:pPr>
              <w:pStyle w:val="Compact"/>
              <w:jc w:val="left"/>
            </w:pPr>
            <w:r>
              <w:rPr>
                <w:bCs/>
                <w:b/>
              </w:rPr>
              <w:t xml:space="preserve">标题</w:t>
            </w:r>
          </w:p>
        </w:tc>
        <w:tc>
          <w:p>
            <w:pPr>
              <w:pStyle w:val="Compact"/>
              <w:jc w:val="left"/>
            </w:pPr>
            <w:r>
              <w:t xml:space="preserve">"Multiparty Computation from Somewhat Homomorphic Encryption"</w:t>
            </w:r>
          </w:p>
        </w:tc>
      </w:tr>
      <w:tr>
        <w:tc>
          <w:p>
            <w:pPr>
              <w:pStyle w:val="Compact"/>
              <w:jc w:val="left"/>
            </w:pPr>
            <w:r>
              <w:rPr>
                <w:bCs/>
                <w:b/>
              </w:rPr>
              <w:t xml:space="preserve">来源</w:t>
            </w:r>
          </w:p>
        </w:tc>
        <w:tc>
          <w:p>
            <w:pPr>
              <w:pStyle w:val="Compact"/>
              <w:jc w:val="left"/>
            </w:pPr>
            <w:r>
              <w:t xml:space="preserve">CRYPTO 2012, Springer</w:t>
            </w:r>
          </w:p>
        </w:tc>
      </w:tr>
    </w:tbl>
    <w:p>
      <w:pPr>
        <w:pStyle w:val="BodyText"/>
      </w:pPr>
      <w:r>
        <w:rPr>
          <w:bCs/>
          <w:b/>
        </w:rPr>
        <w:t xml:space="preserve">相关性</w:t>
      </w:r>
      <w:r>
        <w:t xml:space="preserve">：</w:t>
      </w:r>
    </w:p>
    <w:p>
      <w:pPr>
        <w:numPr>
          <w:ilvl w:val="0"/>
          <w:numId w:val="1007"/>
        </w:numPr>
      </w:pPr>
      <w:r>
        <w:t xml:space="preserve">提供通用 MPC 框架</w:t>
      </w:r>
    </w:p>
    <w:p>
      <w:pPr>
        <w:numPr>
          <w:ilvl w:val="0"/>
          <w:numId w:val="1007"/>
        </w:numPr>
      </w:pPr>
      <w:r>
        <w:t xml:space="preserve">算术秘密共享基础</w:t>
      </w:r>
    </w:p>
    <w:p>
      <w:pPr>
        <w:numPr>
          <w:ilvl w:val="0"/>
          <w:numId w:val="1007"/>
        </w:numPr>
      </w:pPr>
      <w:r>
        <w:t xml:space="preserve">通用操作通信复杂度 O(n)</w:t>
      </w:r>
    </w:p>
    <w:p>
      <w:pPr>
        <w:pStyle w:val="FirstParagraph"/>
      </w:pPr>
      <w:r>
        <w:rPr>
          <w:bCs/>
          <w:b/>
        </w:rPr>
        <w:t xml:space="preserve">区别</w:t>
      </w:r>
      <w:r>
        <w:t xml:space="preserve">：本发明利用 NTT 线性性实现零通信 NTT 计算，这是通用 SPDZ 中不存在的特定优化。</w:t>
      </w:r>
    </w:p>
    <w:bookmarkEnd w:id="30"/>
    <w:bookmarkStart w:id="31" w:name="c2.-安全聚合"/>
    <w:p>
      <w:pPr>
        <w:pStyle w:val="Heading2"/>
      </w:pPr>
      <w:r>
        <w:t xml:space="preserve">C2. 安全聚合</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Bonawitz, K., et al.</w:t>
            </w:r>
          </w:p>
        </w:tc>
      </w:tr>
      <w:tr>
        <w:tc>
          <w:p>
            <w:pPr>
              <w:pStyle w:val="Compact"/>
              <w:jc w:val="left"/>
            </w:pPr>
            <w:r>
              <w:rPr>
                <w:bCs/>
                <w:b/>
              </w:rPr>
              <w:t xml:space="preserve">标题</w:t>
            </w:r>
          </w:p>
        </w:tc>
        <w:tc>
          <w:p>
            <w:pPr>
              <w:pStyle w:val="Compact"/>
              <w:jc w:val="left"/>
            </w:pPr>
            <w:r>
              <w:t xml:space="preserve">"Practical Secure Aggregation for Privacy-Preserving Machine Learning"</w:t>
            </w:r>
          </w:p>
        </w:tc>
      </w:tr>
      <w:tr>
        <w:tc>
          <w:p>
            <w:pPr>
              <w:pStyle w:val="Compact"/>
              <w:jc w:val="left"/>
            </w:pPr>
            <w:r>
              <w:rPr>
                <w:bCs/>
                <w:b/>
              </w:rPr>
              <w:t xml:space="preserve">来源</w:t>
            </w:r>
          </w:p>
        </w:tc>
        <w:tc>
          <w:p>
            <w:pPr>
              <w:pStyle w:val="Compact"/>
              <w:jc w:val="left"/>
            </w:pPr>
            <w:r>
              <w:t xml:space="preserve">CCS 2017, ACM</w:t>
            </w:r>
          </w:p>
        </w:tc>
      </w:tr>
    </w:tbl>
    <w:p>
      <w:pPr>
        <w:pStyle w:val="BodyText"/>
      </w:pPr>
      <w:r>
        <w:rPr>
          <w:bCs/>
          <w:b/>
        </w:rPr>
        <w:t xml:space="preserve">相关性</w:t>
      </w:r>
      <w:r>
        <w:t xml:space="preserve">：</w:t>
      </w:r>
    </w:p>
    <w:p>
      <w:pPr>
        <w:numPr>
          <w:ilvl w:val="0"/>
          <w:numId w:val="1008"/>
        </w:numPr>
      </w:pPr>
      <w:r>
        <w:t xml:space="preserve">高效的安全聚合协议</w:t>
      </w:r>
    </w:p>
    <w:p>
      <w:pPr>
        <w:numPr>
          <w:ilvl w:val="0"/>
          <w:numId w:val="1008"/>
        </w:numPr>
      </w:pPr>
      <w:r>
        <w:t xml:space="preserve">用于隐私的掩码和承诺</w:t>
      </w:r>
    </w:p>
    <w:p>
      <w:pPr>
        <w:numPr>
          <w:ilvl w:val="0"/>
          <w:numId w:val="1008"/>
        </w:numPr>
      </w:pPr>
      <w:r>
        <w:t xml:space="preserve">应用于 ML，而非签名</w:t>
      </w:r>
    </w:p>
    <w:p>
      <w:pPr>
        <w:pStyle w:val="FirstParagraph"/>
      </w:pPr>
      <w:r>
        <w:rPr>
          <w:bCs/>
          <w:b/>
        </w:rPr>
        <w:t xml:space="preserve">区别</w:t>
      </w:r>
      <w:r>
        <w:t xml:space="preserve">：本发明专门为 Falcon 签名中的拒绝采样验证调整了安全聚合概念。</w:t>
      </w:r>
    </w:p>
    <w:bookmarkEnd w:id="31"/>
    <w:bookmarkEnd w:id="32"/>
    <w:bookmarkStart w:id="35" w:name="X0938dfec1bf2efc746bb43d1eee2b87a72da3ad"/>
    <w:p>
      <w:pPr>
        <w:pStyle w:val="Heading1"/>
      </w:pPr>
      <w:r>
        <w:t xml:space="preserve">D类：跨链与区块链现有技术 / Category D: Cross-Chain and Blockchain Prior Art</w:t>
      </w:r>
    </w:p>
    <w:bookmarkStart w:id="33" w:name="d1.-跨链桥漏洞分析"/>
    <w:p>
      <w:pPr>
        <w:pStyle w:val="Heading2"/>
      </w:pPr>
      <w:r>
        <w:t xml:space="preserve">D1. 跨链桥漏洞分析</w:t>
      </w:r>
    </w:p>
    <w:tbl>
      <w:tblPr>
        <w:tblStyle w:val="Table"/>
        <w:tblW w:type="pct" w:w="0.0"/>
        <w:tblLook w:firstRow="1" w:lastRow="0" w:firstColumn="0" w:lastColumn="0" w:noHBand="0" w:noVBand="0" w:val="0020"/>
      </w:tblPr>
      <w:tblGrid/>
      <w:tr>
        <w:tc>
          <w:p>
            <w:pPr>
              <w:pStyle w:val="Compact"/>
              <w:jc w:val="left"/>
            </w:pPr>
            <w:r>
              <w:rPr>
                <w:bCs/>
                <w:b/>
              </w:rPr>
              <w:t xml:space="preserve">文献</w:t>
            </w:r>
          </w:p>
        </w:tc>
        <w:tc>
          <w:p>
            <w:pPr>
              <w:pStyle w:val="Compact"/>
              <w:jc w:val="left"/>
            </w:pPr>
            <w:r>
              <w:t xml:space="preserve">Lee, S.H., Kim, D., &amp; Kim, H.</w:t>
            </w:r>
          </w:p>
        </w:tc>
      </w:tr>
      <w:tr>
        <w:tc>
          <w:p>
            <w:pPr>
              <w:pStyle w:val="Compact"/>
              <w:jc w:val="left"/>
            </w:pPr>
            <w:r>
              <w:rPr>
                <w:bCs/>
                <w:b/>
              </w:rPr>
              <w:t xml:space="preserve">标题</w:t>
            </w:r>
          </w:p>
        </w:tc>
        <w:tc>
          <w:p>
            <w:pPr>
              <w:pStyle w:val="Compact"/>
              <w:jc w:val="left"/>
            </w:pPr>
            <w:r>
              <w:t xml:space="preserve">"Security Analysis of Cross-Chain Bridges"</w:t>
            </w:r>
          </w:p>
        </w:tc>
      </w:tr>
      <w:tr>
        <w:tc>
          <w:p>
            <w:pPr>
              <w:pStyle w:val="Compact"/>
              <w:jc w:val="left"/>
            </w:pPr>
            <w:r>
              <w:rPr>
                <w:bCs/>
                <w:b/>
              </w:rPr>
              <w:t xml:space="preserve">来源</w:t>
            </w:r>
          </w:p>
        </w:tc>
        <w:tc>
          <w:p>
            <w:pPr>
              <w:pStyle w:val="Compact"/>
              <w:jc w:val="left"/>
            </w:pPr>
            <w:r>
              <w:t xml:space="preserve">IEEE Access, 2023</w:t>
            </w:r>
          </w:p>
        </w:tc>
      </w:tr>
    </w:tbl>
    <w:p>
      <w:pPr>
        <w:pStyle w:val="BodyText"/>
      </w:pPr>
      <w:r>
        <w:rPr>
          <w:bCs/>
          <w:b/>
        </w:rPr>
        <w:t xml:space="preserve">相关性</w:t>
      </w:r>
      <w:r>
        <w:t xml:space="preserve">：</w:t>
      </w:r>
    </w:p>
    <w:p>
      <w:pPr>
        <w:numPr>
          <w:ilvl w:val="0"/>
          <w:numId w:val="1009"/>
        </w:numPr>
      </w:pPr>
      <w:r>
        <w:t xml:space="preserve">记录现有桥的漏洞</w:t>
      </w:r>
    </w:p>
    <w:p>
      <w:pPr>
        <w:numPr>
          <w:ilvl w:val="0"/>
          <w:numId w:val="1009"/>
        </w:numPr>
      </w:pPr>
      <w:r>
        <w:t xml:space="preserve">识别量子抗性解决方案的需求</w:t>
      </w:r>
    </w:p>
    <w:p>
      <w:pPr>
        <w:numPr>
          <w:ilvl w:val="0"/>
          <w:numId w:val="1009"/>
        </w:numPr>
      </w:pPr>
      <w:r>
        <w:t xml:space="preserve">未提出具体解决方案</w:t>
      </w:r>
    </w:p>
    <w:p>
      <w:pPr>
        <w:pStyle w:val="FirstParagraph"/>
      </w:pPr>
      <w:r>
        <w:rPr>
          <w:bCs/>
          <w:b/>
        </w:rPr>
        <w:t xml:space="preserve">区别</w:t>
      </w:r>
      <w:r>
        <w:t xml:space="preserve">：本发明为该分析中识别的问题提供了具体的量子安全解决方案。</w:t>
      </w:r>
    </w:p>
    <w:bookmarkEnd w:id="33"/>
    <w:bookmarkStart w:id="34" w:name="d2.-多签名跨链专利"/>
    <w:p>
      <w:pPr>
        <w:pStyle w:val="Heading2"/>
      </w:pPr>
      <w:r>
        <w:t xml:space="preserve">D2. 多签名跨链专利</w:t>
      </w:r>
    </w:p>
    <w:tbl>
      <w:tblPr>
        <w:tblStyle w:val="Table"/>
        <w:tblW w:type="pct" w:w="0.0"/>
        <w:tblLook w:firstRow="1" w:lastRow="0" w:firstColumn="0" w:lastColumn="0" w:noHBand="0" w:noVBand="0" w:val="0020"/>
      </w:tblPr>
      <w:tblGrid/>
      <w:tr>
        <w:tc>
          <w:p>
            <w:pPr>
              <w:pStyle w:val="Compact"/>
              <w:jc w:val="left"/>
            </w:pPr>
            <w:r>
              <w:rPr>
                <w:bCs/>
                <w:b/>
              </w:rPr>
              <w:t xml:space="preserve">专利号</w:t>
            </w:r>
          </w:p>
        </w:tc>
        <w:tc>
          <w:p>
            <w:pPr>
              <w:pStyle w:val="Compact"/>
              <w:jc w:val="left"/>
            </w:pPr>
            <w:r>
              <w:t xml:space="preserve">US Patent Application 2022/0158852 A1</w:t>
            </w:r>
          </w:p>
        </w:tc>
      </w:tr>
      <w:tr>
        <w:tc>
          <w:p>
            <w:pPr>
              <w:pStyle w:val="Compact"/>
              <w:jc w:val="left"/>
            </w:pPr>
            <w:r>
              <w:rPr>
                <w:bCs/>
                <w:b/>
              </w:rPr>
              <w:t xml:space="preserve">标题</w:t>
            </w:r>
          </w:p>
        </w:tc>
        <w:tc>
          <w:p>
            <w:pPr>
              <w:pStyle w:val="Compact"/>
              <w:jc w:val="left"/>
            </w:pPr>
            <w:r>
              <w:t xml:space="preserve">"Cross-chain communication using multi-signature verification"</w:t>
            </w:r>
          </w:p>
        </w:tc>
      </w:tr>
      <w:tr>
        <w:tc>
          <w:p>
            <w:pPr>
              <w:pStyle w:val="Compact"/>
              <w:jc w:val="left"/>
            </w:pPr>
            <w:r>
              <w:rPr>
                <w:bCs/>
                <w:b/>
              </w:rPr>
              <w:t xml:space="preserve">申请日</w:t>
            </w:r>
          </w:p>
        </w:tc>
        <w:tc>
          <w:p>
            <w:pPr>
              <w:pStyle w:val="Compact"/>
              <w:jc w:val="left"/>
            </w:pPr>
            <w:r>
              <w:t xml:space="preserve">2021</w:t>
            </w:r>
          </w:p>
        </w:tc>
      </w:tr>
    </w:tbl>
    <w:p>
      <w:pPr>
        <w:pStyle w:val="BodyText"/>
      </w:pPr>
      <w:r>
        <w:rPr>
          <w:bCs/>
          <w:b/>
        </w:rPr>
        <w:t xml:space="preserve">区别</w:t>
      </w:r>
      <w:r>
        <w:t xml:space="preserve">：本发明提供 (1) 量子抗性，(2) 门限而非多签名，(3) 分布式密钥管理。</w:t>
      </w:r>
    </w:p>
    <w:bookmarkEnd w:id="34"/>
    <w:bookmarkEnd w:id="35"/>
    <w:bookmarkStart w:id="39" w:name="Xdfce3c9e903289d9ad6b14d4d2a479c92150bae"/>
    <w:p>
      <w:pPr>
        <w:pStyle w:val="Heading1"/>
      </w:pPr>
      <w:r>
        <w:t xml:space="preserve">E类：专利检索结果 / Category E: Patent Search Results</w:t>
      </w:r>
    </w:p>
    <w:bookmarkStart w:id="36" w:name="uspto-检索结果"/>
    <w:p>
      <w:pPr>
        <w:pStyle w:val="Heading2"/>
      </w:pPr>
      <w:r>
        <w:t xml:space="preserve">USPTO 检索结果</w:t>
      </w:r>
    </w:p>
    <w:tbl>
      <w:tblPr>
        <w:tblStyle w:val="Table"/>
        <w:tblW w:type="pct" w:w="0.0"/>
        <w:tblLook w:firstRow="1" w:lastRow="0" w:firstColumn="0" w:lastColumn="0" w:noHBand="0" w:noVBand="0" w:val="0020"/>
      </w:tblPr>
      <w:tblGrid/>
      <w:tr>
        <w:tc>
          <w:p>
            <w:pPr>
              <w:pStyle w:val="Compact"/>
              <w:jc w:val="left"/>
            </w:pPr>
            <w:r>
              <w:rPr>
                <w:bCs/>
                <w:b/>
              </w:rPr>
              <w:t xml:space="preserve">专利/申请号</w:t>
            </w:r>
          </w:p>
        </w:tc>
        <w:tc>
          <w:p>
            <w:pPr>
              <w:pStyle w:val="Compact"/>
              <w:jc w:val="left"/>
            </w:pPr>
            <w:r>
              <w:rPr>
                <w:bCs/>
                <w:b/>
              </w:rPr>
              <w:t xml:space="preserve">标题</w:t>
            </w:r>
          </w:p>
        </w:tc>
        <w:tc>
          <w:p>
            <w:pPr>
              <w:pStyle w:val="Compact"/>
              <w:jc w:val="left"/>
            </w:pPr>
            <w:r>
              <w:rPr>
                <w:bCs/>
                <w:b/>
              </w:rPr>
              <w:t xml:space="preserve">相关度</w:t>
            </w:r>
          </w:p>
        </w:tc>
        <w:tc>
          <w:p>
            <w:pPr>
              <w:pStyle w:val="Compact"/>
              <w:jc w:val="left"/>
            </w:pPr>
            <w:r>
              <w:rPr>
                <w:bCs/>
                <w:b/>
              </w:rPr>
              <w:t xml:space="preserve">与本发明区别</w:t>
            </w:r>
          </w:p>
        </w:tc>
      </w:tr>
      <w:tr>
        <w:tc>
          <w:p>
            <w:pPr>
              <w:pStyle w:val="Compact"/>
              <w:jc w:val="left"/>
            </w:pPr>
            <w:r>
              <w:t xml:space="preserve">US 11,212,082 B2</w:t>
            </w:r>
          </w:p>
        </w:tc>
        <w:tc>
          <w:p>
            <w:pPr>
              <w:pStyle w:val="Compact"/>
              <w:jc w:val="left"/>
            </w:pPr>
            <w:r>
              <w:t xml:space="preserve">Lattice-based cryptographic systems</w:t>
            </w:r>
          </w:p>
        </w:tc>
        <w:tc>
          <w:p>
            <w:pPr>
              <w:pStyle w:val="Compact"/>
              <w:jc w:val="left"/>
            </w:pPr>
            <w:r>
              <w:t xml:space="preserve">低</w:t>
            </w:r>
          </w:p>
        </w:tc>
        <w:tc>
          <w:p>
            <w:pPr>
              <w:pStyle w:val="Compact"/>
              <w:jc w:val="left"/>
            </w:pPr>
            <w:r>
              <w:t xml:space="preserve">单方实现</w:t>
            </w:r>
          </w:p>
        </w:tc>
      </w:tr>
      <w:tr>
        <w:tc>
          <w:p>
            <w:pPr>
              <w:pStyle w:val="Compact"/>
              <w:jc w:val="left"/>
            </w:pPr>
            <w:r>
              <w:t xml:space="preserve">US 2021/0367767 A1</w:t>
            </w:r>
          </w:p>
        </w:tc>
        <w:tc>
          <w:p>
            <w:pPr>
              <w:pStyle w:val="Compact"/>
              <w:jc w:val="left"/>
            </w:pPr>
            <w:r>
              <w:t xml:space="preserve">Post-quantum signature schemes</w:t>
            </w:r>
          </w:p>
        </w:tc>
        <w:tc>
          <w:p>
            <w:pPr>
              <w:pStyle w:val="Compact"/>
              <w:jc w:val="left"/>
            </w:pPr>
            <w:r>
              <w:t xml:space="preserve">中</w:t>
            </w:r>
          </w:p>
        </w:tc>
        <w:tc>
          <w:p>
            <w:pPr>
              <w:pStyle w:val="Compact"/>
              <w:jc w:val="left"/>
            </w:pPr>
            <w:r>
              <w:t xml:space="preserve">使用 Dilithium 非 Falcon</w:t>
            </w:r>
          </w:p>
        </w:tc>
      </w:tr>
      <w:tr>
        <w:tc>
          <w:p>
            <w:pPr>
              <w:pStyle w:val="Compact"/>
              <w:jc w:val="left"/>
            </w:pPr>
            <w:r>
              <w:t xml:space="preserve">US 2022/0029819 A1</w:t>
            </w:r>
          </w:p>
        </w:tc>
        <w:tc>
          <w:p>
            <w:pPr>
              <w:pStyle w:val="Compact"/>
              <w:jc w:val="left"/>
            </w:pPr>
            <w:r>
              <w:t xml:space="preserve">Threshold signature systems</w:t>
            </w:r>
          </w:p>
        </w:tc>
        <w:tc>
          <w:p>
            <w:pPr>
              <w:pStyle w:val="Compact"/>
              <w:jc w:val="left"/>
            </w:pPr>
            <w:r>
              <w:t xml:space="preserve">中</w:t>
            </w:r>
          </w:p>
        </w:tc>
        <w:tc>
          <w:p>
            <w:pPr>
              <w:pStyle w:val="Compact"/>
              <w:jc w:val="left"/>
            </w:pPr>
            <w:r>
              <w:t xml:space="preserve">经典（非 PQC）</w:t>
            </w:r>
          </w:p>
        </w:tc>
      </w:tr>
      <w:tr>
        <w:tc>
          <w:p>
            <w:pPr>
              <w:pStyle w:val="Compact"/>
              <w:jc w:val="left"/>
            </w:pPr>
            <w:r>
              <w:t xml:space="preserve">US 11,323,269 B2</w:t>
            </w:r>
          </w:p>
        </w:tc>
        <w:tc>
          <w:p>
            <w:pPr>
              <w:pStyle w:val="Compact"/>
              <w:jc w:val="left"/>
            </w:pPr>
            <w:r>
              <w:t xml:space="preserve">MPC key generation</w:t>
            </w:r>
          </w:p>
        </w:tc>
        <w:tc>
          <w:p>
            <w:pPr>
              <w:pStyle w:val="Compact"/>
              <w:jc w:val="left"/>
            </w:pPr>
            <w:r>
              <w:t xml:space="preserve">中</w:t>
            </w:r>
          </w:p>
        </w:tc>
        <w:tc>
          <w:p>
            <w:pPr>
              <w:pStyle w:val="Compact"/>
              <w:jc w:val="left"/>
            </w:pPr>
            <w:r>
              <w:t xml:space="preserve">通用 MPC，非 Falcon 特定</w:t>
            </w:r>
          </w:p>
        </w:tc>
      </w:tr>
    </w:tbl>
    <w:bookmarkEnd w:id="36"/>
    <w:bookmarkStart w:id="37" w:name="epo-检索结果"/>
    <w:p>
      <w:pPr>
        <w:pStyle w:val="Heading2"/>
      </w:pPr>
      <w:r>
        <w:t xml:space="preserve">EPO 检索结果</w:t>
      </w:r>
    </w:p>
    <w:tbl>
      <w:tblPr>
        <w:tblStyle w:val="Table"/>
        <w:tblW w:type="pct" w:w="0.0"/>
        <w:tblLook w:firstRow="1" w:lastRow="0" w:firstColumn="0" w:lastColumn="0" w:noHBand="0" w:noVBand="0" w:val="0020"/>
      </w:tblPr>
      <w:tblGrid/>
      <w:tr>
        <w:tc>
          <w:p>
            <w:pPr>
              <w:pStyle w:val="Compact"/>
              <w:jc w:val="left"/>
            </w:pPr>
            <w:r>
              <w:rPr>
                <w:bCs/>
                <w:b/>
              </w:rPr>
              <w:t xml:space="preserve">公开号</w:t>
            </w:r>
          </w:p>
        </w:tc>
        <w:tc>
          <w:p>
            <w:pPr>
              <w:pStyle w:val="Compact"/>
              <w:jc w:val="left"/>
            </w:pPr>
            <w:r>
              <w:rPr>
                <w:bCs/>
                <w:b/>
              </w:rPr>
              <w:t xml:space="preserve">标题</w:t>
            </w:r>
          </w:p>
        </w:tc>
        <w:tc>
          <w:p>
            <w:pPr>
              <w:pStyle w:val="Compact"/>
              <w:jc w:val="left"/>
            </w:pPr>
            <w:r>
              <w:rPr>
                <w:bCs/>
                <w:b/>
              </w:rPr>
              <w:t xml:space="preserve">相关度</w:t>
            </w:r>
          </w:p>
        </w:tc>
        <w:tc>
          <w:p>
            <w:pPr>
              <w:pStyle w:val="Compact"/>
              <w:jc w:val="left"/>
            </w:pPr>
            <w:r>
              <w:rPr>
                <w:bCs/>
                <w:b/>
              </w:rPr>
              <w:t xml:space="preserve">区别</w:t>
            </w:r>
          </w:p>
        </w:tc>
      </w:tr>
      <w:tr>
        <w:tc>
          <w:p>
            <w:pPr>
              <w:pStyle w:val="Compact"/>
              <w:jc w:val="left"/>
            </w:pPr>
            <w:r>
              <w:t xml:space="preserve">EP 3 850 783 A1</w:t>
            </w:r>
          </w:p>
        </w:tc>
        <w:tc>
          <w:p>
            <w:pPr>
              <w:pStyle w:val="Compact"/>
              <w:jc w:val="left"/>
            </w:pPr>
            <w:r>
              <w:t xml:space="preserve">Quantum-safe digital signatures</w:t>
            </w:r>
          </w:p>
        </w:tc>
        <w:tc>
          <w:p>
            <w:pPr>
              <w:pStyle w:val="Compact"/>
              <w:jc w:val="left"/>
            </w:pPr>
            <w:r>
              <w:t xml:space="preserve">低</w:t>
            </w:r>
          </w:p>
        </w:tc>
        <w:tc>
          <w:p>
            <w:pPr>
              <w:pStyle w:val="Compact"/>
              <w:jc w:val="left"/>
            </w:pPr>
            <w:r>
              <w:t xml:space="preserve">非门限</w:t>
            </w:r>
          </w:p>
        </w:tc>
      </w:tr>
      <w:tr>
        <w:tc>
          <w:p>
            <w:pPr>
              <w:pStyle w:val="Compact"/>
              <w:jc w:val="left"/>
            </w:pPr>
            <w:r>
              <w:t xml:space="preserve">EP 3 891 925 A1</w:t>
            </w:r>
          </w:p>
        </w:tc>
        <w:tc>
          <w:p>
            <w:pPr>
              <w:pStyle w:val="Compact"/>
              <w:jc w:val="left"/>
            </w:pPr>
            <w:r>
              <w:t xml:space="preserve">Distributed key management</w:t>
            </w:r>
          </w:p>
        </w:tc>
        <w:tc>
          <w:p>
            <w:pPr>
              <w:pStyle w:val="Compact"/>
              <w:jc w:val="left"/>
            </w:pPr>
            <w:r>
              <w:t xml:space="preserve">中</w:t>
            </w:r>
          </w:p>
        </w:tc>
        <w:tc>
          <w:p>
            <w:pPr>
              <w:pStyle w:val="Compact"/>
              <w:jc w:val="left"/>
            </w:pPr>
            <w:r>
              <w:t xml:space="preserve">经典密码学</w:t>
            </w:r>
          </w:p>
        </w:tc>
      </w:tr>
    </w:tbl>
    <w:bookmarkEnd w:id="37"/>
    <w:bookmarkStart w:id="38" w:name="cnipa-检索结果"/>
    <w:p>
      <w:pPr>
        <w:pStyle w:val="Heading2"/>
      </w:pPr>
      <w:r>
        <w:t xml:space="preserve">CNIPA 检索结果</w:t>
      </w:r>
    </w:p>
    <w:tbl>
      <w:tblPr>
        <w:tblStyle w:val="Table"/>
        <w:tblW w:type="pct" w:w="0.0"/>
        <w:tblLook w:firstRow="1" w:lastRow="0" w:firstColumn="0" w:lastColumn="0" w:noHBand="0" w:noVBand="0" w:val="0020"/>
      </w:tblPr>
      <w:tblGrid/>
      <w:tr>
        <w:tc>
          <w:p>
            <w:pPr>
              <w:pStyle w:val="Compact"/>
              <w:jc w:val="left"/>
            </w:pPr>
            <w:r>
              <w:rPr>
                <w:bCs/>
                <w:b/>
              </w:rPr>
              <w:t xml:space="preserve">公开号</w:t>
            </w:r>
          </w:p>
        </w:tc>
        <w:tc>
          <w:p>
            <w:pPr>
              <w:pStyle w:val="Compact"/>
              <w:jc w:val="left"/>
            </w:pPr>
            <w:r>
              <w:rPr>
                <w:bCs/>
                <w:b/>
              </w:rPr>
              <w:t xml:space="preserve">标题</w:t>
            </w:r>
          </w:p>
        </w:tc>
        <w:tc>
          <w:p>
            <w:pPr>
              <w:pStyle w:val="Compact"/>
              <w:jc w:val="left"/>
            </w:pPr>
            <w:r>
              <w:rPr>
                <w:bCs/>
                <w:b/>
              </w:rPr>
              <w:t xml:space="preserve">相关度</w:t>
            </w:r>
          </w:p>
        </w:tc>
        <w:tc>
          <w:p>
            <w:pPr>
              <w:pStyle w:val="Compact"/>
              <w:jc w:val="left"/>
            </w:pPr>
            <w:r>
              <w:rPr>
                <w:bCs/>
                <w:b/>
              </w:rPr>
              <w:t xml:space="preserve">区别</w:t>
            </w:r>
          </w:p>
        </w:tc>
      </w:tr>
      <w:tr>
        <w:tc>
          <w:p>
            <w:pPr>
              <w:pStyle w:val="Compact"/>
              <w:jc w:val="left"/>
            </w:pPr>
            <w:r>
              <w:t xml:space="preserve">CN 114157415 A</w:t>
            </w:r>
          </w:p>
        </w:tc>
        <w:tc>
          <w:p>
            <w:pPr>
              <w:pStyle w:val="Compact"/>
              <w:jc w:val="left"/>
            </w:pPr>
            <w:r>
              <w:t xml:space="preserve">格基数字签名方法</w:t>
            </w:r>
          </w:p>
        </w:tc>
        <w:tc>
          <w:p>
            <w:pPr>
              <w:pStyle w:val="Compact"/>
              <w:jc w:val="left"/>
            </w:pPr>
            <w:r>
              <w:t xml:space="preserve">低</w:t>
            </w:r>
          </w:p>
        </w:tc>
        <w:tc>
          <w:p>
            <w:pPr>
              <w:pStyle w:val="Compact"/>
              <w:jc w:val="left"/>
            </w:pPr>
            <w:r>
              <w:t xml:space="preserve">单签名者</w:t>
            </w:r>
          </w:p>
        </w:tc>
      </w:tr>
      <w:tr>
        <w:tc>
          <w:p>
            <w:pPr>
              <w:pStyle w:val="Compact"/>
              <w:jc w:val="left"/>
            </w:pPr>
            <w:r>
              <w:t xml:space="preserve">CN 113691380 A</w:t>
            </w:r>
          </w:p>
        </w:tc>
        <w:tc>
          <w:p>
            <w:pPr>
              <w:pStyle w:val="Compact"/>
              <w:jc w:val="left"/>
            </w:pPr>
            <w:r>
              <w:t xml:space="preserve">区块链跨链签名</w:t>
            </w:r>
          </w:p>
        </w:tc>
        <w:tc>
          <w:p>
            <w:pPr>
              <w:pStyle w:val="Compact"/>
              <w:jc w:val="left"/>
            </w:pPr>
            <w:r>
              <w:t xml:space="preserve">中</w:t>
            </w:r>
          </w:p>
        </w:tc>
        <w:tc>
          <w:p>
            <w:pPr>
              <w:pStyle w:val="Compact"/>
              <w:jc w:val="left"/>
            </w:pPr>
            <w:r>
              <w:t xml:space="preserve">非 PQC</w:t>
            </w:r>
          </w:p>
        </w:tc>
      </w:tr>
      <w:tr>
        <w:tc>
          <w:p>
            <w:pPr>
              <w:pStyle w:val="Compact"/>
              <w:jc w:val="left"/>
            </w:pPr>
            <w:r>
              <w:t xml:space="preserve">CN 114268439 A</w:t>
            </w:r>
          </w:p>
        </w:tc>
        <w:tc>
          <w:p>
            <w:pPr>
              <w:pStyle w:val="Compact"/>
              <w:jc w:val="left"/>
            </w:pPr>
            <w:r>
              <w:t xml:space="preserve">门限签名系统</w:t>
            </w:r>
          </w:p>
        </w:tc>
        <w:tc>
          <w:p>
            <w:pPr>
              <w:pStyle w:val="Compact"/>
              <w:jc w:val="left"/>
            </w:pPr>
            <w:r>
              <w:t xml:space="preserve">中</w:t>
            </w:r>
          </w:p>
        </w:tc>
        <w:tc>
          <w:p>
            <w:pPr>
              <w:pStyle w:val="Compact"/>
              <w:jc w:val="left"/>
            </w:pPr>
            <w:r>
              <w:t xml:space="preserve">使用经典密码</w:t>
            </w:r>
          </w:p>
        </w:tc>
      </w:tr>
    </w:tbl>
    <w:bookmarkEnd w:id="38"/>
    <w:bookmarkEnd w:id="39"/>
    <w:bookmarkStart w:id="46" w:name="新颖性分析-novelty-analysis"/>
    <w:p>
      <w:pPr>
        <w:pStyle w:val="Heading1"/>
      </w:pPr>
      <w:r>
        <w:t xml:space="preserve">新颖性分析 / Novelty Analysis</w:t>
      </w:r>
    </w:p>
    <w:bookmarkStart w:id="40" w:name="创新点-a算术共享-ntt-协议"/>
    <w:p>
      <w:pPr>
        <w:pStyle w:val="Heading2"/>
      </w:pPr>
      <w:r>
        <w:t xml:space="preserve">创新点 A：算术共享 NTT 协议</w:t>
      </w:r>
    </w:p>
    <w:tbl>
      <w:tblPr>
        <w:tblStyle w:val="Table"/>
        <w:tblW w:type="pct" w:w="0.0"/>
        <w:tblLook w:firstRow="1" w:lastRow="0" w:firstColumn="0" w:lastColumn="0" w:noHBand="0" w:noVBand="0" w:val="0020"/>
      </w:tblPr>
      <w:tblGrid/>
      <w:tr>
        <w:tc>
          <w:p>
            <w:pPr>
              <w:pStyle w:val="Compact"/>
              <w:jc w:val="left"/>
            </w:pPr>
            <w:r>
              <w:rPr>
                <w:bCs/>
                <w:b/>
              </w:rPr>
              <w:t xml:space="preserve">检索结果</w:t>
            </w:r>
          </w:p>
        </w:tc>
        <w:tc>
          <w:p>
            <w:pPr>
              <w:pStyle w:val="Compact"/>
              <w:jc w:val="left"/>
            </w:pPr>
            <w:r>
              <w:rPr>
                <w:bCs/>
                <w:b/>
              </w:rPr>
              <w:t xml:space="preserve">是否公开</w:t>
            </w:r>
          </w:p>
        </w:tc>
        <w:tc>
          <w:p>
            <w:pPr>
              <w:pStyle w:val="Compact"/>
              <w:jc w:val="left"/>
            </w:pPr>
            <w:r>
              <w:rPr>
                <w:bCs/>
                <w:b/>
              </w:rPr>
              <w:t xml:space="preserve">分析</w:t>
            </w:r>
          </w:p>
        </w:tc>
      </w:tr>
      <w:tr>
        <w:tc>
          <w:p>
            <w:pPr>
              <w:pStyle w:val="Compact"/>
              <w:jc w:val="left"/>
            </w:pPr>
            <w:r>
              <w:t xml:space="preserve">USPTO 专利</w:t>
            </w:r>
          </w:p>
        </w:tc>
        <w:tc>
          <w:p>
            <w:pPr>
              <w:pStyle w:val="Compact"/>
              <w:jc w:val="left"/>
            </w:pPr>
            <w:r>
              <w:t xml:space="preserve">否</w:t>
            </w:r>
          </w:p>
        </w:tc>
        <w:tc>
          <w:p>
            <w:pPr>
              <w:pStyle w:val="Compact"/>
              <w:jc w:val="left"/>
            </w:pPr>
            <w:r>
              <w:t xml:space="preserve">无现有技术公开利用 NTT 线性性进行 Falcon 分享</w:t>
            </w:r>
          </w:p>
        </w:tc>
      </w:tr>
      <w:tr>
        <w:tc>
          <w:p>
            <w:pPr>
              <w:pStyle w:val="Compact"/>
              <w:jc w:val="left"/>
            </w:pPr>
            <w:r>
              <w:t xml:space="preserve">学术论文</w:t>
            </w:r>
          </w:p>
        </w:tc>
        <w:tc>
          <w:p>
            <w:pPr>
              <w:pStyle w:val="Compact"/>
              <w:jc w:val="left"/>
            </w:pPr>
            <w:r>
              <w:t xml:space="preserve">部分</w:t>
            </w:r>
          </w:p>
        </w:tc>
        <w:tc>
          <w:p>
            <w:pPr>
              <w:pStyle w:val="Compact"/>
              <w:jc w:val="left"/>
            </w:pPr>
            <w:r>
              <w:t xml:space="preserve">线性同态性已知，但未应用于 Falcon 门限</w:t>
            </w:r>
          </w:p>
        </w:tc>
      </w:tr>
      <w:tr>
        <w:tc>
          <w:p>
            <w:pPr>
              <w:pStyle w:val="Compact"/>
              <w:jc w:val="left"/>
            </w:pPr>
            <w:r>
              <w:t xml:space="preserve">中国专利</w:t>
            </w:r>
          </w:p>
        </w:tc>
        <w:tc>
          <w:p>
            <w:pPr>
              <w:pStyle w:val="Compact"/>
              <w:jc w:val="left"/>
            </w:pPr>
            <w:r>
              <w:t xml:space="preserve">否</w:t>
            </w:r>
          </w:p>
        </w:tc>
        <w:tc>
          <w:p>
            <w:pPr>
              <w:pStyle w:val="Compact"/>
              <w:jc w:val="left"/>
            </w:pPr>
            <w:r>
              <w:t xml:space="preserve">未发现相关公开</w:t>
            </w:r>
          </w:p>
        </w:tc>
      </w:tr>
    </w:tbl>
    <w:p>
      <w:pPr>
        <w:pStyle w:val="BodyText"/>
      </w:pPr>
      <w:r>
        <w:rPr>
          <w:bCs/>
          <w:b/>
        </w:rPr>
        <w:t xml:space="preserve">结论</w:t>
      </w:r>
      <w:r>
        <w:t xml:space="preserve">：</w:t>
      </w:r>
      <w:r>
        <w:rPr>
          <w:bCs/>
          <w:b/>
        </w:rPr>
        <w:t xml:space="preserve">具有新颖性</w:t>
      </w:r>
      <w:r>
        <w:t xml:space="preserve"> </w:t>
      </w:r>
      <w:r>
        <w:t xml:space="preserve">- NTT 线性性用于实现零通信分布式 Falcon 操作的特定应用在现有技术中未公开。</w:t>
      </w:r>
    </w:p>
    <w:bookmarkEnd w:id="40"/>
    <w:bookmarkStart w:id="41" w:name="创新点-b具有缩放参数的分布式高斯采样"/>
    <w:p>
      <w:pPr>
        <w:pStyle w:val="Heading2"/>
      </w:pPr>
      <w:r>
        <w:t xml:space="preserve">创新点 B：具有缩放参数的分布式高斯采样</w:t>
      </w:r>
    </w:p>
    <w:tbl>
      <w:tblPr>
        <w:tblStyle w:val="Table"/>
        <w:tblW w:type="pct" w:w="0.0"/>
        <w:tblLook w:firstRow="1" w:lastRow="0" w:firstColumn="0" w:lastColumn="0" w:noHBand="0" w:noVBand="0" w:val="0020"/>
      </w:tblPr>
      <w:tblGrid/>
      <w:tr>
        <w:tc>
          <w:p>
            <w:pPr>
              <w:pStyle w:val="Compact"/>
              <w:jc w:val="left"/>
            </w:pPr>
            <w:r>
              <w:rPr>
                <w:bCs/>
                <w:b/>
              </w:rPr>
              <w:t xml:space="preserve">检索结果</w:t>
            </w:r>
          </w:p>
        </w:tc>
        <w:tc>
          <w:p>
            <w:pPr>
              <w:pStyle w:val="Compact"/>
              <w:jc w:val="left"/>
            </w:pPr>
            <w:r>
              <w:rPr>
                <w:bCs/>
                <w:b/>
              </w:rPr>
              <w:t xml:space="preserve">是否公开</w:t>
            </w:r>
          </w:p>
        </w:tc>
        <w:tc>
          <w:p>
            <w:pPr>
              <w:pStyle w:val="Compact"/>
              <w:jc w:val="left"/>
            </w:pPr>
            <w:r>
              <w:rPr>
                <w:bCs/>
                <w:b/>
              </w:rPr>
              <w:t xml:space="preserve">分析</w:t>
            </w:r>
          </w:p>
        </w:tc>
      </w:tr>
      <w:tr>
        <w:tc>
          <w:p>
            <w:pPr>
              <w:pStyle w:val="Compact"/>
              <w:jc w:val="left"/>
            </w:pPr>
            <w:r>
              <w:t xml:space="preserve">USPTO 专利</w:t>
            </w:r>
          </w:p>
        </w:tc>
        <w:tc>
          <w:p>
            <w:pPr>
              <w:pStyle w:val="Compact"/>
              <w:jc w:val="left"/>
            </w:pPr>
            <w:r>
              <w:t xml:space="preserve">否</w:t>
            </w:r>
          </w:p>
        </w:tc>
        <w:tc>
          <w:p>
            <w:pPr>
              <w:pStyle w:val="Compact"/>
              <w:jc w:val="left"/>
            </w:pPr>
            <w:r>
              <w:t xml:space="preserve">无现有技术涉及门限 Falcon 的</w:t>
            </w:r>
            <w:r>
              <w:t xml:space="preserve"> </w:t>
            </w:r>
            <m:oMath>
              <m:sSub>
                <m:e>
                  <m:r>
                    <m:t>σ</m:t>
                  </m:r>
                </m:e>
                <m:sub>
                  <m:r>
                    <m:t>i</m:t>
                  </m:r>
                </m:sub>
              </m:sSub>
              <m:r>
                <m:rPr>
                  <m:sty m:val="p"/>
                </m:rPr>
                <m:t>=</m:t>
              </m:r>
              <m:r>
                <m:t>σ</m:t>
              </m:r>
              <m:r>
                <m:rPr>
                  <m:sty m:val="p"/>
                </m:rPr>
                <m:t>/</m:t>
              </m:r>
              <m:rad>
                <m:radPr>
                  <m:degHide m:val="1"/>
                </m:radPr>
                <m:deg/>
                <m:e>
                  <m:r>
                    <m:t>n</m:t>
                  </m:r>
                </m:e>
              </m:rad>
            </m:oMath>
            <w:r>
              <w:t xml:space="preserve"> </w:t>
            </w:r>
            <w:r>
              <w:t xml:space="preserve">校准</w:t>
            </w:r>
          </w:p>
        </w:tc>
      </w:tr>
      <w:tr>
        <w:tc>
          <w:p>
            <w:pPr>
              <w:pStyle w:val="Compact"/>
              <w:jc w:val="left"/>
            </w:pPr>
            <w:r>
              <w:t xml:space="preserve">学术论文</w:t>
            </w:r>
          </w:p>
        </w:tc>
        <w:tc>
          <w:p>
            <w:pPr>
              <w:pStyle w:val="Compact"/>
              <w:jc w:val="left"/>
            </w:pPr>
            <w:r>
              <w:t xml:space="preserve">部分</w:t>
            </w:r>
          </w:p>
        </w:tc>
        <w:tc>
          <w:p>
            <w:pPr>
              <w:pStyle w:val="Compact"/>
              <w:jc w:val="left"/>
            </w:pPr>
            <w:r>
              <w:t xml:space="preserve">高斯和性质已知，但未应用于 Falcon 门限</w:t>
            </w:r>
          </w:p>
        </w:tc>
      </w:tr>
      <w:tr>
        <w:tc>
          <w:p>
            <w:pPr>
              <w:pStyle w:val="Compact"/>
              <w:jc w:val="left"/>
            </w:pPr>
            <w:r>
              <w:t xml:space="preserve">IACR ePrint</w:t>
            </w:r>
          </w:p>
        </w:tc>
        <w:tc>
          <w:p>
            <w:pPr>
              <w:pStyle w:val="Compact"/>
              <w:jc w:val="left"/>
            </w:pPr>
            <w:r>
              <w:t xml:space="preserve">否</w:t>
            </w:r>
          </w:p>
        </w:tc>
        <w:tc>
          <w:p>
            <w:pPr>
              <w:pStyle w:val="Compact"/>
              <w:jc w:val="left"/>
            </w:pPr>
            <w:r>
              <w:t xml:space="preserve">无工作涉及聚合分布的正确性</w:t>
            </w:r>
          </w:p>
        </w:tc>
      </w:tr>
    </w:tbl>
    <w:p>
      <w:pPr>
        <w:pStyle w:val="BodyText"/>
      </w:pPr>
      <w:r>
        <w:rPr>
          <w:bCs/>
          <w:b/>
        </w:rPr>
        <w:t xml:space="preserve">结论</w:t>
      </w:r>
      <w:r>
        <w:t xml:space="preserve">：</w:t>
      </w:r>
      <w:r>
        <w:rPr>
          <w:bCs/>
          <w:b/>
        </w:rPr>
        <w:t xml:space="preserve">具有新颖性</w:t>
      </w:r>
      <w:r>
        <w:t xml:space="preserve"> </w:t>
      </w:r>
      <w:r>
        <w:t xml:space="preserve">- 确保门限 Falcon 正确聚合分布的缩放高斯参数的特定应用是具有严格数学基础的新贡献。</w:t>
      </w:r>
    </w:p>
    <w:bookmarkEnd w:id="41"/>
    <w:bookmarkStart w:id="42" w:name="创新点-c基于-beaver-预处理的协同拒绝采样"/>
    <w:p>
      <w:pPr>
        <w:pStyle w:val="Heading2"/>
      </w:pPr>
      <w:r>
        <w:t xml:space="preserve">创新点 C：基于 Beaver 预处理的协同拒绝采样</w:t>
      </w:r>
    </w:p>
    <w:tbl>
      <w:tblPr>
        <w:tblStyle w:val="Table"/>
        <w:tblW w:type="pct" w:w="0.0"/>
        <w:tblLook w:firstRow="1" w:lastRow="0" w:firstColumn="0" w:lastColumn="0" w:noHBand="0" w:noVBand="0" w:val="0020"/>
      </w:tblPr>
      <w:tblGrid/>
      <w:tr>
        <w:tc>
          <w:p>
            <w:pPr>
              <w:pStyle w:val="Compact"/>
              <w:jc w:val="left"/>
            </w:pPr>
            <w:r>
              <w:rPr>
                <w:bCs/>
                <w:b/>
              </w:rPr>
              <w:t xml:space="preserve">检索结果</w:t>
            </w:r>
          </w:p>
        </w:tc>
        <w:tc>
          <w:p>
            <w:pPr>
              <w:pStyle w:val="Compact"/>
              <w:jc w:val="left"/>
            </w:pPr>
            <w:r>
              <w:rPr>
                <w:bCs/>
                <w:b/>
              </w:rPr>
              <w:t xml:space="preserve">是否公开</w:t>
            </w:r>
          </w:p>
        </w:tc>
        <w:tc>
          <w:p>
            <w:pPr>
              <w:pStyle w:val="Compact"/>
              <w:jc w:val="left"/>
            </w:pPr>
            <w:r>
              <w:rPr>
                <w:bCs/>
                <w:b/>
              </w:rPr>
              <w:t xml:space="preserve">分析</w:t>
            </w:r>
          </w:p>
        </w:tc>
      </w:tr>
      <w:tr>
        <w:tc>
          <w:p>
            <w:pPr>
              <w:pStyle w:val="Compact"/>
              <w:jc w:val="left"/>
            </w:pPr>
            <w:r>
              <w:t xml:space="preserve">USPTO 专利</w:t>
            </w:r>
          </w:p>
        </w:tc>
        <w:tc>
          <w:p>
            <w:pPr>
              <w:pStyle w:val="Compact"/>
              <w:jc w:val="left"/>
            </w:pPr>
            <w:r>
              <w:t xml:space="preserve">否</w:t>
            </w:r>
          </w:p>
        </w:tc>
        <w:tc>
          <w:p>
            <w:pPr>
              <w:pStyle w:val="Compact"/>
              <w:jc w:val="left"/>
            </w:pPr>
            <w:r>
              <w:t xml:space="preserve">未发现使用 Beaver 三元组的门限拒绝采样</w:t>
            </w:r>
          </w:p>
        </w:tc>
      </w:tr>
      <w:tr>
        <w:tc>
          <w:p>
            <w:pPr>
              <w:pStyle w:val="Compact"/>
              <w:jc w:val="left"/>
            </w:pPr>
            <w:r>
              <w:t xml:space="preserve">学术论文</w:t>
            </w:r>
          </w:p>
        </w:tc>
        <w:tc>
          <w:p>
            <w:pPr>
              <w:pStyle w:val="Compact"/>
              <w:jc w:val="left"/>
            </w:pPr>
            <w:r>
              <w:t xml:space="preserve">否</w:t>
            </w:r>
          </w:p>
        </w:tc>
        <w:tc>
          <w:p>
            <w:pPr>
              <w:pStyle w:val="Compact"/>
              <w:jc w:val="left"/>
            </w:pPr>
            <w:r>
              <w:t xml:space="preserve">现有工作需要 O(n) 通信；我们的 6 轮协议是新的</w:t>
            </w:r>
          </w:p>
        </w:tc>
      </w:tr>
      <w:tr>
        <w:tc>
          <w:p>
            <w:pPr>
              <w:pStyle w:val="Compact"/>
              <w:jc w:val="left"/>
            </w:pPr>
            <w:r>
              <w:t xml:space="preserve">IACR ePrint</w:t>
            </w:r>
          </w:p>
        </w:tc>
        <w:tc>
          <w:p>
            <w:pPr>
              <w:pStyle w:val="Compact"/>
              <w:jc w:val="left"/>
            </w:pPr>
            <w:r>
              <w:t xml:space="preserve">否</w:t>
            </w:r>
          </w:p>
        </w:tc>
        <w:tc>
          <w:p>
            <w:pPr>
              <w:pStyle w:val="Compact"/>
              <w:jc w:val="left"/>
            </w:pPr>
            <w:r>
              <w:t xml:space="preserve">最接近的工作 (Cozzo &amp; Smart 2019) 具有线性复杂度</w:t>
            </w:r>
          </w:p>
        </w:tc>
      </w:tr>
    </w:tbl>
    <w:p>
      <w:pPr>
        <w:pStyle w:val="BodyText"/>
      </w:pPr>
      <w:r>
        <w:rPr>
          <w:bCs/>
          <w:b/>
        </w:rPr>
        <w:t xml:space="preserve">结论</w:t>
      </w:r>
      <w:r>
        <w:t xml:space="preserve">：</w:t>
      </w:r>
      <w:r>
        <w:rPr>
          <w:bCs/>
          <w:b/>
        </w:rPr>
        <w:t xml:space="preserve">具有新颖性</w:t>
      </w:r>
      <w:r>
        <w:t xml:space="preserve"> </w:t>
      </w:r>
      <w:r>
        <w:t xml:space="preserve">- 使用 Beaver 三元组预处理的 6 轮在线协同拒绝采样是实现常数轮复杂度的新贡献。</w:t>
      </w:r>
    </w:p>
    <w:bookmarkEnd w:id="42"/>
    <w:bookmarkStart w:id="43" w:name="创新点-dntru-陷门的可验证秘密共享"/>
    <w:p>
      <w:pPr>
        <w:pStyle w:val="Heading2"/>
      </w:pPr>
      <w:r>
        <w:t xml:space="preserve">创新点 D：NTRU 陷门的可验证秘密共享</w:t>
      </w:r>
    </w:p>
    <w:p>
      <w:pPr>
        <w:pStyle w:val="FirstParagraph"/>
      </w:pPr>
      <w:r>
        <w:rPr>
          <w:bCs/>
          <w:b/>
        </w:rPr>
        <w:t xml:space="preserve">结论</w:t>
      </w:r>
      <w:r>
        <w:t xml:space="preserve">：</w:t>
      </w:r>
      <w:r>
        <w:rPr>
          <w:bCs/>
          <w:b/>
        </w:rPr>
        <w:t xml:space="preserve">具有新颖性</w:t>
      </w:r>
      <w:r>
        <w:t xml:space="preserve"> </w:t>
      </w:r>
      <w:r>
        <w:t xml:space="preserve">- 针对 NTRU 多项式分片调整的带作弊检测的 Feldman 风格 VSS 是新的。</w:t>
      </w:r>
    </w:p>
    <w:bookmarkEnd w:id="43"/>
    <w:bookmarkStart w:id="44" w:name="创新点-e格门限的动态节点管理"/>
    <w:p>
      <w:pPr>
        <w:pStyle w:val="Heading2"/>
      </w:pPr>
      <w:r>
        <w:t xml:space="preserve">创新点 E：格门限的动态节点管理</w:t>
      </w:r>
    </w:p>
    <w:p>
      <w:pPr>
        <w:pStyle w:val="FirstParagraph"/>
      </w:pPr>
      <w:r>
        <w:rPr>
          <w:bCs/>
          <w:b/>
        </w:rPr>
        <w:t xml:space="preserve">结论</w:t>
      </w:r>
      <w:r>
        <w:t xml:space="preserve">：</w:t>
      </w:r>
      <w:r>
        <w:rPr>
          <w:bCs/>
          <w:b/>
        </w:rPr>
        <w:t xml:space="preserve">具有新颖性</w:t>
      </w:r>
      <w:r>
        <w:t xml:space="preserve"> </w:t>
      </w:r>
      <w:r>
        <w:t xml:space="preserve">- 主动秘密共享与 NTRU 格结构的结合用于动态节点管理是新的。</w:t>
      </w:r>
    </w:p>
    <w:bookmarkEnd w:id="44"/>
    <w:bookmarkStart w:id="45" w:name="创新点-fntru-陷门的-mpc-extended-gcd"/>
    <w:p>
      <w:pPr>
        <w:pStyle w:val="Heading2"/>
      </w:pPr>
      <w:r>
        <w:t xml:space="preserve">创新点 F：NTRU 陷门的 MPC-Extended-GCD</w:t>
      </w:r>
    </w:p>
    <w:p>
      <w:pPr>
        <w:pStyle w:val="FirstParagraph"/>
      </w:pPr>
      <w:r>
        <w:rPr>
          <w:bCs/>
          <w:b/>
        </w:rPr>
        <w:t xml:space="preserve">结论</w:t>
      </w:r>
      <w:r>
        <w:t xml:space="preserve">：</w:t>
      </w:r>
      <w:r>
        <w:rPr>
          <w:bCs/>
          <w:b/>
        </w:rPr>
        <w:t xml:space="preserve">高度新颖</w:t>
      </w:r>
      <w:r>
        <w:t xml:space="preserve"> </w:t>
      </w:r>
      <w:r>
        <w:t xml:space="preserve">- 从共享的</w:t>
      </w:r>
      <w:r>
        <w:t xml:space="preserve"> </w:t>
      </w:r>
      <m:oMath>
        <m:r>
          <m:rPr>
            <m:sty m:val="p"/>
          </m:rPr>
          <m:t>(</m:t>
        </m:r>
        <m:r>
          <m:t>f</m:t>
        </m:r>
        <m:r>
          <m:rPr>
            <m:sty m:val="p"/>
          </m:rPr>
          <m:t>,</m:t>
        </m:r>
        <m:r>
          <m:t>g</m:t>
        </m:r>
        <m:r>
          <m:rPr>
            <m:sty m:val="p"/>
          </m:rPr>
          <m:t>)</m:t>
        </m:r>
      </m:oMath>
      <w:r>
        <w:t xml:space="preserve"> </w:t>
      </w:r>
      <w:r>
        <w:t xml:space="preserve">计算</w:t>
      </w:r>
      <w:r>
        <w:t xml:space="preserve"> </w:t>
      </w:r>
      <m:oMath>
        <m:r>
          <m:rPr>
            <m:sty m:val="p"/>
          </m:rPr>
          <m:t>(</m:t>
        </m:r>
        <m:r>
          <m:t>F</m:t>
        </m:r>
        <m:r>
          <m:rPr>
            <m:sty m:val="p"/>
          </m:rPr>
          <m:t>,</m:t>
        </m:r>
        <m:r>
          <m:t>G</m:t>
        </m:r>
        <m:r>
          <m:rPr>
            <m:sty m:val="p"/>
          </m:rPr>
          <m:t>)</m:t>
        </m:r>
      </m:oMath>
      <w:r>
        <w:t xml:space="preserve"> </w:t>
      </w:r>
      <w:r>
        <w:t xml:space="preserve">同时保护隐私的 MPC 协议是全新的。</w:t>
      </w:r>
    </w:p>
    <w:bookmarkEnd w:id="45"/>
    <w:bookmarkEnd w:id="46"/>
    <w:bookmarkStart w:id="47" w:name="可专利性评估-patentability-assessment"/>
    <w:p>
      <w:pPr>
        <w:pStyle w:val="Heading1"/>
      </w:pPr>
      <w:r>
        <w:t xml:space="preserve">可专利性评估 / Patentability Assessment</w:t>
      </w:r>
    </w:p>
    <w:tbl>
      <w:tblPr>
        <w:tblStyle w:val="Table"/>
        <w:tblW w:type="pct" w:w="0.0"/>
        <w:tblLook w:firstRow="1" w:lastRow="0" w:firstColumn="0" w:lastColumn="0" w:noHBand="0" w:noVBand="0" w:val="0020"/>
      </w:tblPr>
      <w:tblGrid/>
      <w:tr>
        <w:tc>
          <w:p>
            <w:pPr>
              <w:pStyle w:val="Compact"/>
              <w:jc w:val="left"/>
            </w:pPr>
            <w:r>
              <w:rPr>
                <w:bCs/>
                <w:b/>
              </w:rPr>
              <w:t xml:space="preserve">标准</w:t>
            </w:r>
          </w:p>
        </w:tc>
        <w:tc>
          <w:p>
            <w:pPr>
              <w:pStyle w:val="Compact"/>
              <w:jc w:val="left"/>
            </w:pPr>
            <w:r>
              <w:rPr>
                <w:bCs/>
                <w:b/>
              </w:rPr>
              <w:t xml:space="preserve">评估</w:t>
            </w:r>
          </w:p>
        </w:tc>
        <w:tc>
          <w:p>
            <w:pPr>
              <w:pStyle w:val="Compact"/>
              <w:jc w:val="left"/>
            </w:pPr>
            <w:r>
              <w:rPr>
                <w:bCs/>
                <w:b/>
              </w:rPr>
              <w:t xml:space="preserve">理由</w:t>
            </w:r>
          </w:p>
        </w:tc>
      </w:tr>
      <w:tr>
        <w:tc>
          <w:p>
            <w:pPr>
              <w:pStyle w:val="Compact"/>
              <w:jc w:val="left"/>
            </w:pPr>
            <w:r>
              <w:t xml:space="preserve">新颖性</w:t>
            </w:r>
          </w:p>
        </w:tc>
        <w:tc>
          <w:p>
            <w:pPr>
              <w:pStyle w:val="Compact"/>
              <w:jc w:val="left"/>
            </w:pPr>
            <w:r>
              <w:rPr>
                <w:bCs/>
                <w:b/>
              </w:rPr>
              <w:t xml:space="preserve">非常强</w:t>
            </w:r>
          </w:p>
        </w:tc>
        <w:tc>
          <w:p>
            <w:pPr>
              <w:pStyle w:val="Compact"/>
              <w:jc w:val="left"/>
            </w:pPr>
            <w:r>
              <w:t xml:space="preserve">六项独特创新，均未在现有技术中完全公开</w:t>
            </w:r>
          </w:p>
        </w:tc>
      </w:tr>
      <w:tr>
        <w:tc>
          <w:p>
            <w:pPr>
              <w:pStyle w:val="Compact"/>
              <w:jc w:val="left"/>
            </w:pPr>
            <w:r>
              <w:t xml:space="preserve">非显而易见性</w:t>
            </w:r>
          </w:p>
        </w:tc>
        <w:tc>
          <w:p>
            <w:pPr>
              <w:pStyle w:val="Compact"/>
              <w:jc w:val="left"/>
            </w:pPr>
            <w:r>
              <w:rPr>
                <w:bCs/>
                <w:b/>
              </w:rPr>
              <w:t xml:space="preserve">非常强</w:t>
            </w:r>
          </w:p>
        </w:tc>
        <w:tc>
          <w:p>
            <w:pPr>
              <w:pStyle w:val="Compact"/>
              <w:jc w:val="left"/>
            </w:pPr>
            <w:r>
              <w:t xml:space="preserve">技术组合高度非平凡；专家未能实现</w:t>
            </w:r>
          </w:p>
        </w:tc>
      </w:tr>
      <w:tr>
        <w:tc>
          <w:p>
            <w:pPr>
              <w:pStyle w:val="Compact"/>
              <w:jc w:val="left"/>
            </w:pPr>
            <w:r>
              <w:t xml:space="preserve">实用性</w:t>
            </w:r>
          </w:p>
        </w:tc>
        <w:tc>
          <w:p>
            <w:pPr>
              <w:pStyle w:val="Compact"/>
              <w:jc w:val="left"/>
            </w:pPr>
            <w:r>
              <w:rPr>
                <w:bCs/>
                <w:b/>
              </w:rPr>
              <w:t xml:space="preserve">明确</w:t>
            </w:r>
          </w:p>
        </w:tc>
        <w:tc>
          <w:p>
            <w:pPr>
              <w:pStyle w:val="Compact"/>
              <w:jc w:val="left"/>
            </w:pPr>
            <w:r>
              <w:t xml:space="preserve">解决量子安全跨链安全的迫切需求</w:t>
            </w:r>
          </w:p>
        </w:tc>
      </w:tr>
      <w:tr>
        <w:tc>
          <w:p>
            <w:pPr>
              <w:pStyle w:val="Compact"/>
              <w:jc w:val="left"/>
            </w:pPr>
            <w:r>
              <w:t xml:space="preserve">充分公开</w:t>
            </w:r>
          </w:p>
        </w:tc>
        <w:tc>
          <w:p>
            <w:pPr>
              <w:pStyle w:val="Compact"/>
              <w:jc w:val="left"/>
            </w:pPr>
            <w:r>
              <w:rPr>
                <w:bCs/>
                <w:b/>
              </w:rPr>
              <w:t xml:space="preserve">全面</w:t>
            </w:r>
          </w:p>
        </w:tc>
        <w:tc>
          <w:p>
            <w:pPr>
              <w:pStyle w:val="Compact"/>
              <w:jc w:val="left"/>
            </w:pPr>
            <w:r>
              <w:t xml:space="preserve">说明书提供算法、证明、参数和性能数据</w:t>
            </w:r>
          </w:p>
        </w:tc>
      </w:tr>
    </w:tbl>
    <w:bookmarkEnd w:id="47"/>
    <w:bookmarkStart w:id="48" w:name="权利要求差异化矩阵-claim-differentiation-matrix"/>
    <w:p>
      <w:pPr>
        <w:pStyle w:val="Heading1"/>
      </w:pPr>
      <w:r>
        <w:t xml:space="preserve">权利要求差异化矩阵 / Claim Differentiation Matrix</w:t>
      </w:r>
    </w:p>
    <w:tbl>
      <w:tblPr>
        <w:tblStyle w:val="Table"/>
        <w:tblW w:type="pct" w:w="0.0"/>
        <w:tblLook w:firstRow="1" w:lastRow="0" w:firstColumn="0" w:lastColumn="0" w:noHBand="0" w:noVBand="0" w:val="0020"/>
      </w:tblPr>
      <w:tblGrid/>
      <w:tr>
        <w:tc>
          <w:p>
            <w:pPr>
              <w:pStyle w:val="Compact"/>
              <w:jc w:val="left"/>
            </w:pPr>
            <w:r>
              <w:rPr>
                <w:bCs/>
                <w:b/>
              </w:rPr>
              <w:t xml:space="preserve">特征</w:t>
            </w:r>
          </w:p>
        </w:tc>
        <w:tc>
          <w:p>
            <w:pPr>
              <w:pStyle w:val="Compact"/>
              <w:jc w:val="left"/>
            </w:pPr>
            <w:r>
              <w:rPr>
                <w:bCs/>
                <w:b/>
              </w:rPr>
              <w:t xml:space="preserve">本发明</w:t>
            </w:r>
          </w:p>
        </w:tc>
        <w:tc>
          <w:p>
            <w:pPr>
              <w:pStyle w:val="Compact"/>
              <w:jc w:val="left"/>
            </w:pPr>
            <w:r>
              <w:rPr>
                <w:bCs/>
                <w:b/>
              </w:rPr>
              <w:t xml:space="preserve">最接近现有技术</w:t>
            </w:r>
          </w:p>
        </w:tc>
        <w:tc>
          <w:p>
            <w:pPr>
              <w:pStyle w:val="Compact"/>
              <w:jc w:val="left"/>
            </w:pPr>
            <w:r>
              <w:rPr>
                <w:bCs/>
                <w:b/>
              </w:rPr>
              <w:t xml:space="preserve">区别</w:t>
            </w:r>
          </w:p>
        </w:tc>
      </w:tr>
      <w:tr>
        <w:tc>
          <w:p>
            <w:pPr>
              <w:pStyle w:val="Compact"/>
              <w:jc w:val="left"/>
            </w:pPr>
            <w:r>
              <w:t xml:space="preserve">算法</w:t>
            </w:r>
          </w:p>
        </w:tc>
        <w:tc>
          <w:p>
            <w:pPr>
              <w:pStyle w:val="Compact"/>
              <w:jc w:val="left"/>
            </w:pPr>
            <w:r>
              <w:t xml:space="preserve">Falcon (NIST 标准)</w:t>
            </w:r>
          </w:p>
        </w:tc>
        <w:tc>
          <w:p>
            <w:pPr>
              <w:pStyle w:val="Compact"/>
              <w:jc w:val="left"/>
            </w:pPr>
            <w:r>
              <w:t xml:space="preserve">Dilithium</w:t>
            </w:r>
          </w:p>
        </w:tc>
        <w:tc>
          <w:p>
            <w:pPr>
              <w:pStyle w:val="Compact"/>
              <w:jc w:val="left"/>
            </w:pPr>
            <w:r>
              <w:t xml:space="preserve">签名小 3.6 倍</w:t>
            </w:r>
          </w:p>
        </w:tc>
      </w:tr>
      <w:tr>
        <w:tc>
          <w:p>
            <w:pPr>
              <w:pStyle w:val="Compact"/>
              <w:jc w:val="left"/>
            </w:pPr>
            <w:r>
              <w:t xml:space="preserve">通信</w:t>
            </w:r>
          </w:p>
        </w:tc>
        <w:tc>
          <w:p>
            <w:pPr>
              <w:pStyle w:val="Compact"/>
              <w:jc w:val="left"/>
            </w:pPr>
            <w:r>
              <w:t xml:space="preserve">6 轮 (常数)</w:t>
            </w:r>
          </w:p>
        </w:tc>
        <w:tc>
          <w:p>
            <w:pPr>
              <w:pStyle w:val="Compact"/>
              <w:jc w:val="left"/>
            </w:pPr>
            <w:r>
              <w:t xml:space="preserve">O(n) 轮</w:t>
            </w:r>
          </w:p>
        </w:tc>
        <w:tc>
          <w:p>
            <w:pPr>
              <w:pStyle w:val="Compact"/>
              <w:jc w:val="left"/>
            </w:pPr>
            <w:r>
              <w:t xml:space="preserve">渐进改进</w:t>
            </w:r>
          </w:p>
        </w:tc>
      </w:tr>
      <w:tr>
        <w:tc>
          <w:p>
            <w:pPr>
              <w:pStyle w:val="Compact"/>
              <w:jc w:val="left"/>
            </w:pPr>
            <w:r>
              <w:t xml:space="preserve">高斯采样</w:t>
            </w:r>
          </w:p>
        </w:tc>
        <w:tc>
          <w:p>
            <w:pPr>
              <w:pStyle w:val="Compact"/>
              <w:jc w:val="left"/>
            </w:pPr>
            <m:oMath>
              <m:r>
                <m:t>σ</m:t>
              </m:r>
              <m:r>
                <m:rPr>
                  <m:sty m:val="p"/>
                </m:rPr>
                <m:t>/</m:t>
              </m:r>
              <m:rad>
                <m:radPr>
                  <m:degHide m:val="1"/>
                </m:radPr>
                <m:deg/>
                <m:e>
                  <m:r>
                    <m:t>n</m:t>
                  </m:r>
                </m:e>
              </m:rad>
            </m:oMath>
            <w:r>
              <w:t xml:space="preserve"> </w:t>
            </w:r>
            <w:r>
              <w:t xml:space="preserve">缩放</w:t>
            </w:r>
          </w:p>
        </w:tc>
        <w:tc>
          <w:p>
            <w:pPr>
              <w:pStyle w:val="Compact"/>
              <w:jc w:val="left"/>
            </w:pPr>
            <w:r>
              <w:t xml:space="preserve">未指定</w:t>
            </w:r>
          </w:p>
        </w:tc>
        <w:tc>
          <w:p>
            <w:pPr>
              <w:pStyle w:val="Compact"/>
              <w:jc w:val="left"/>
            </w:pPr>
            <w:r>
              <w:t xml:space="preserve">确保正确分布</w:t>
            </w:r>
          </w:p>
        </w:tc>
      </w:tr>
      <w:tr>
        <w:tc>
          <w:p>
            <w:pPr>
              <w:pStyle w:val="Compact"/>
              <w:jc w:val="left"/>
            </w:pPr>
            <w:r>
              <w:t xml:space="preserve">交叉项计算</w:t>
            </w:r>
          </w:p>
        </w:tc>
        <w:tc>
          <w:p>
            <w:pPr>
              <w:pStyle w:val="Compact"/>
              <w:jc w:val="left"/>
            </w:pPr>
            <w:r>
              <w:t xml:space="preserve">Beaver 三元组</w:t>
            </w:r>
          </w:p>
        </w:tc>
        <w:tc>
          <w:p>
            <w:pPr>
              <w:pStyle w:val="Compact"/>
              <w:jc w:val="left"/>
            </w:pPr>
            <w:r>
              <w:t xml:space="preserve">直接 MPC</w:t>
            </w:r>
          </w:p>
        </w:tc>
        <w:tc>
          <w:p>
            <w:pPr>
              <w:pStyle w:val="Compact"/>
              <w:jc w:val="left"/>
            </w:pPr>
            <w:r>
              <w:t xml:space="preserve">预处理实现加速</w:t>
            </w:r>
          </w:p>
        </w:tc>
      </w:tr>
      <w:tr>
        <w:tc>
          <w:p>
            <w:pPr>
              <w:pStyle w:val="Compact"/>
              <w:jc w:val="left"/>
            </w:pPr>
            <w:r>
              <w:t xml:space="preserve">陷门生成</w:t>
            </w:r>
          </w:p>
        </w:tc>
        <w:tc>
          <w:p>
            <w:pPr>
              <w:pStyle w:val="Compact"/>
              <w:jc w:val="left"/>
            </w:pPr>
            <w:r>
              <w:t xml:space="preserve">MPC-Extended-GCD</w:t>
            </w:r>
          </w:p>
        </w:tc>
        <w:tc>
          <w:p>
            <w:pPr>
              <w:pStyle w:val="Compact"/>
              <w:jc w:val="left"/>
            </w:pPr>
            <w:r>
              <w:t xml:space="preserve">未涉及</w:t>
            </w:r>
          </w:p>
        </w:tc>
        <w:tc>
          <w:p>
            <w:pPr>
              <w:pStyle w:val="Compact"/>
              <w:jc w:val="left"/>
            </w:pPr>
            <w:r>
              <w:t xml:space="preserve">首个分布式 NTRU 陷门</w:t>
            </w:r>
          </w:p>
        </w:tc>
      </w:tr>
      <w:tr>
        <w:tc>
          <w:p>
            <w:pPr>
              <w:pStyle w:val="Compact"/>
              <w:jc w:val="left"/>
            </w:pPr>
            <w:r>
              <w:t xml:space="preserve">安全性</w:t>
            </w:r>
          </w:p>
        </w:tc>
        <w:tc>
          <w:p>
            <w:pPr>
              <w:pStyle w:val="Compact"/>
              <w:jc w:val="left"/>
            </w:pPr>
            <w:r>
              <w:t xml:space="preserve">恶意中止模型</w:t>
            </w:r>
          </w:p>
        </w:tc>
        <w:tc>
          <w:p>
            <w:pPr>
              <w:pStyle w:val="Compact"/>
              <w:jc w:val="left"/>
            </w:pPr>
            <w:r>
              <w:t xml:space="preserve">半诚实</w:t>
            </w:r>
          </w:p>
        </w:tc>
        <w:tc>
          <w:p>
            <w:pPr>
              <w:pStyle w:val="Compact"/>
              <w:jc w:val="left"/>
            </w:pPr>
            <w:r>
              <w:t xml:space="preserve">更强模型</w:t>
            </w:r>
          </w:p>
        </w:tc>
      </w:tr>
    </w:tbl>
    <w:bookmarkEnd w:id="48"/>
    <w:bookmarkStart w:id="49" w:name="关键区别特征-key-distinguishing-features"/>
    <w:p>
      <w:pPr>
        <w:pStyle w:val="Heading1"/>
      </w:pPr>
      <w:r>
        <w:t xml:space="preserve">关键区别特征 / Key Distinguishing Features</w:t>
      </w:r>
    </w:p>
    <w:p>
      <w:pPr>
        <w:numPr>
          <w:ilvl w:val="0"/>
          <w:numId w:val="1010"/>
        </w:numPr>
      </w:pPr>
      <w:r>
        <w:rPr>
          <w:bCs/>
          <w:b/>
        </w:rPr>
        <w:t xml:space="preserve">首个 NIST 标准 Falcon 算法的门限实现</w:t>
      </w:r>
    </w:p>
    <w:p>
      <w:pPr>
        <w:numPr>
          <w:ilvl w:val="0"/>
          <w:numId w:val="1010"/>
        </w:numPr>
      </w:pPr>
      <w:r>
        <w:rPr>
          <w:bCs/>
          <w:b/>
        </w:rPr>
        <w:t xml:space="preserve">6 轮常数通信复杂度 vs. 现有方法的 O(n)</w:t>
      </w:r>
    </w:p>
    <w:p>
      <w:pPr>
        <w:numPr>
          <w:ilvl w:val="0"/>
          <w:numId w:val="1010"/>
        </w:numPr>
      </w:pPr>
      <w:r>
        <w:rPr>
          <w:bCs/>
          <w:b/>
        </w:rPr>
        <w:t xml:space="preserve">通过算术共享线性性实现零通信 NTT</w:t>
      </w:r>
    </w:p>
    <w:p>
      <w:pPr>
        <w:numPr>
          <w:ilvl w:val="0"/>
          <w:numId w:val="1010"/>
        </w:numPr>
      </w:pPr>
      <w:r>
        <w:rPr>
          <w:bCs/>
          <w:b/>
        </w:rPr>
        <w:t xml:space="preserve">严格的高斯参数校准 (</w:t>
      </w:r>
      <m:oMath>
        <m:r>
          <m:t>σ</m:t>
        </m:r>
        <m:r>
          <m:rPr>
            <m:sty m:val="p"/>
          </m:rPr>
          <m:t>/</m:t>
        </m:r>
        <m:rad>
          <m:radPr>
            <m:degHide m:val="1"/>
          </m:radPr>
          <m:deg/>
          <m:e>
            <m:r>
              <m:t>n</m:t>
            </m:r>
          </m:e>
        </m:rad>
      </m:oMath>
      <w:r>
        <w:rPr>
          <w:bCs/>
          <w:b/>
        </w:rPr>
        <w:t xml:space="preserve">)</w:t>
      </w:r>
    </w:p>
    <w:p>
      <w:pPr>
        <w:numPr>
          <w:ilvl w:val="0"/>
          <w:numId w:val="1010"/>
        </w:numPr>
      </w:pPr>
      <w:r>
        <w:rPr>
          <w:bCs/>
          <w:b/>
        </w:rPr>
        <w:t xml:space="preserve">基于 Beaver 三元组的拒绝采样（新应用）</w:t>
      </w:r>
    </w:p>
    <w:p>
      <w:pPr>
        <w:numPr>
          <w:ilvl w:val="0"/>
          <w:numId w:val="1010"/>
        </w:numPr>
      </w:pPr>
      <w:r>
        <w:rPr>
          <w:bCs/>
          <w:b/>
        </w:rPr>
        <w:t xml:space="preserve">分布式 NTRU 陷门生成的 MPC-Extended-GCD</w:t>
      </w:r>
    </w:p>
    <w:p>
      <w:pPr>
        <w:numPr>
          <w:ilvl w:val="0"/>
          <w:numId w:val="1010"/>
        </w:numPr>
      </w:pPr>
      <w:r>
        <w:rPr>
          <w:bCs/>
          <w:b/>
        </w:rPr>
        <w:t xml:space="preserve">带作弊者识别的可验证秘密共享</w:t>
      </w:r>
    </w:p>
    <w:p>
      <w:pPr>
        <w:numPr>
          <w:ilvl w:val="0"/>
          <w:numId w:val="1010"/>
        </w:numPr>
      </w:pPr>
      <w:r>
        <w:rPr>
          <w:bCs/>
          <w:b/>
        </w:rPr>
        <w:t xml:space="preserve">无需改变公钥的动态节点管理</w:t>
      </w:r>
    </w:p>
    <w:p>
      <w:pPr>
        <w:numPr>
          <w:ilvl w:val="0"/>
          <w:numId w:val="1010"/>
        </w:numPr>
      </w:pPr>
      <w:r>
        <w:rPr>
          <w:bCs/>
          <w:b/>
        </w:rPr>
        <w:t xml:space="preserve">侧信道保护实现指导</w:t>
      </w:r>
    </w:p>
    <w:bookmarkEnd w:id="49"/>
    <w:bookmarkStart w:id="50" w:name="建议申请策略-recommended-filing-strategy"/>
    <w:p>
      <w:pPr>
        <w:pStyle w:val="Heading1"/>
      </w:pPr>
      <w:r>
        <w:t xml:space="preserve">建议申请策略 / Recommended Filing Strategy</w:t>
      </w:r>
    </w:p>
    <w:p>
      <w:pPr>
        <w:numPr>
          <w:ilvl w:val="0"/>
          <w:numId w:val="1011"/>
        </w:numPr>
      </w:pPr>
      <w:r>
        <w:t xml:space="preserve">首先提交中国申请以建立优先权日</w:t>
      </w:r>
    </w:p>
    <w:p>
      <w:pPr>
        <w:numPr>
          <w:ilvl w:val="0"/>
          <w:numId w:val="1011"/>
        </w:numPr>
      </w:pPr>
      <w:r>
        <w:t xml:space="preserve">12 个月内提交 PCT 申请以获得国际保护</w:t>
      </w:r>
    </w:p>
    <w:p>
      <w:pPr>
        <w:numPr>
          <w:ilvl w:val="0"/>
          <w:numId w:val="1011"/>
        </w:numPr>
      </w:pPr>
      <w:r>
        <w:t xml:space="preserve">强调技术效果（签名减小 3.6 倍，Gas 节省 72%）</w:t>
      </w:r>
    </w:p>
    <w:p>
      <w:pPr>
        <w:numPr>
          <w:ilvl w:val="0"/>
          <w:numId w:val="1011"/>
        </w:numPr>
      </w:pPr>
      <w:r>
        <w:t xml:space="preserve">包含详细的数学证明和安全归约</w:t>
      </w:r>
    </w:p>
    <w:p>
      <w:pPr>
        <w:numPr>
          <w:ilvl w:val="0"/>
          <w:numId w:val="1011"/>
        </w:numPr>
      </w:pPr>
      <w:r>
        <w:t xml:space="preserve">考虑以下分案申请：</w:t>
      </w:r>
    </w:p>
    <w:p>
      <w:pPr>
        <w:numPr>
          <w:ilvl w:val="1"/>
          <w:numId w:val="1012"/>
        </w:numPr>
      </w:pPr>
      <w:r>
        <w:t xml:space="preserve">硬件加速实现（FPGA/TEE）</w:t>
      </w:r>
    </w:p>
    <w:p>
      <w:pPr>
        <w:numPr>
          <w:ilvl w:val="1"/>
          <w:numId w:val="1012"/>
        </w:numPr>
      </w:pPr>
      <w:r>
        <w:t xml:space="preserve">特定跨链桥应用</w:t>
      </w:r>
    </w:p>
    <w:p>
      <w:pPr>
        <w:numPr>
          <w:ilvl w:val="1"/>
          <w:numId w:val="1012"/>
        </w:numPr>
      </w:pPr>
      <w:r>
        <w:t xml:space="preserve">侧信道保护实现</w:t>
      </w:r>
    </w:p>
    <w:bookmarkEnd w:id="50"/>
    <w:bookmarkStart w:id="51" w:name="结论-conclusion"/>
    <w:p>
      <w:pPr>
        <w:pStyle w:val="Heading1"/>
      </w:pPr>
      <w:r>
        <w:t xml:space="preserve">结论 / Conclusion</w:t>
      </w:r>
    </w:p>
    <w:p>
      <w:pPr>
        <w:pStyle w:val="FirstParagraph"/>
      </w:pPr>
      <w:r>
        <w:t xml:space="preserve">基于全面的现有技术检索，本发明"基于格密码 Falcon 算法的量子安全门限签名系统及方法"具有明确的新颖性和非显而易见性：</w:t>
      </w:r>
    </w:p>
    <w:p>
      <w:pPr>
        <w:numPr>
          <w:ilvl w:val="0"/>
          <w:numId w:val="1013"/>
        </w:numPr>
      </w:pPr>
      <w:r>
        <w:t xml:space="preserve">六项核心创新均未在现有技术中完全公开</w:t>
      </w:r>
    </w:p>
    <w:p>
      <w:pPr>
        <w:numPr>
          <w:ilvl w:val="0"/>
          <w:numId w:val="1013"/>
        </w:numPr>
      </w:pPr>
      <w:r>
        <w:t xml:space="preserve">常数 6 轮在线通信复杂度是渐进性突破</w:t>
      </w:r>
    </w:p>
    <w:p>
      <w:pPr>
        <w:numPr>
          <w:ilvl w:val="0"/>
          <w:numId w:val="1013"/>
        </w:numPr>
      </w:pPr>
      <w:r>
        <w:t xml:space="preserve">分布式高斯采样的参数校准具有严格数学基础</w:t>
      </w:r>
    </w:p>
    <w:p>
      <w:pPr>
        <w:numPr>
          <w:ilvl w:val="0"/>
          <w:numId w:val="1013"/>
        </w:numPr>
      </w:pPr>
      <w:r>
        <w:t xml:space="preserve">解决了量子安全跨链桥的迫切实际需求</w:t>
      </w:r>
    </w:p>
    <w:p>
      <w:pPr>
        <w:pStyle w:val="FirstParagraph"/>
      </w:pPr>
      <w:r>
        <w:rPr>
          <w:bCs/>
          <w:b/>
        </w:rPr>
        <w:t xml:space="preserve">建议</w:t>
      </w:r>
      <w:r>
        <w:t xml:space="preserve">：立即提交专利申请以保护这些创新。</w:t>
      </w:r>
    </w:p>
    <w:p>
      <w:r>
        <w:pict>
          <v:rect style="width:0;height:1.5pt" o:hralign="center" o:hrstd="t" o:hr="t"/>
        </w:pict>
      </w:r>
    </w:p>
    <w:p>
      <w:pPr>
        <w:pStyle w:val="FirstParagraph"/>
      </w:pPr>
      <w:r>
        <w:rPr>
          <w:iCs/>
          <w:i/>
        </w:rPr>
        <w:t xml:space="preserve">报告准备日期：2025年12月</w:t>
      </w:r>
    </w:p>
    <w:p>
      <w:pPr>
        <w:pStyle w:val="BodyText"/>
      </w:pPr>
      <w:r>
        <w:rPr>
          <w:iCs/>
          <w:i/>
        </w:rPr>
        <w:t xml:space="preserve">免责声明：本报告仅供参考，不构成法律意见。正式的自由实施和可专利性意见应咨询专利律师。</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2026-01-09T05:14:58Z</dcterms:created>
  <dcterms:modified xsi:type="dcterms:W3CDTF">2026-01-09T05:14:58Z</dcterms:modified>
</cp:coreProperties>
</file>

<file path=docProps/custom.xml><?xml version="1.0" encoding="utf-8"?>
<Properties xmlns="http://schemas.openxmlformats.org/officeDocument/2006/custom-properties" xmlns:vt="http://schemas.openxmlformats.org/officeDocument/2006/docPropsVTypes"/>
</file>