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Cellular rejuvenation plan review and financing readiness</w:t>
      </w:r>
    </w:p>
    <w:p>
      <w:r>
        <w:t>20 October 2026</w:t>
      </w:r>
    </w:p>
    <w:p>
      <w:r>
        <w:t>The revised white paper provides a coherent early-stage investment proposition: finance one tissue program to discover and independently confirm a controllable rejuvenation mechanism. It separates the larger ambition of complete cellular age resetting from the evidence that the first financing can realistically purchase.</w:t>
      </w:r>
    </w:p>
    <w:p>
      <w:r>
        <w:t>Scientific review</w:t>
      </w:r>
    </w:p>
    <w:p>
      <w:r>
        <w:t>The revision treats the earlier AUROC 1.00 result as treatment classification in a three-donor public dataset. It removes any implication of biological efficacy or a discovered master switch. It defines function, identity, integrity and persistence separately from clocks, retains distributed mechanisms and population artifacts as competing explanations, and requires orthogonal tests and independent replication.</w:t>
      </w:r>
    </w:p>
    <w:p>
      <w:r>
        <w:t>The model portfolio now includes strong simple baselines, contemporary foundation and sequence models, uncertainty and action-support checks. A prospective fixed-budget comparison tests whether AI selection improves confirmed hits. A larger model is not assumed to identify interventions absent from the data. Computational and wet-laboratory claims are kept distinct.</w:t>
      </w:r>
    </w:p>
    <w:p>
      <w:r>
        <w:t>Experimental review</w:t>
      </w:r>
    </w:p>
    <w:p>
      <w:r>
        <w:t>The plan distinguishes technical wells from independent donors and gives the proposed screen volume explicitly. It separates cheap discovery readouts from reconstructed-skin functional confirmation, specifies equal-sized selection arms, new donors and bridge specimens across laboratories, and requires donor-level power calculations before confirmation. Proposed effect thresholds and withdrawal intervals are labeled development criteria rather than completed results.</w:t>
      </w:r>
    </w:p>
    <w:p>
      <w:r>
        <w:t>Commercial and financial review</w:t>
      </w:r>
    </w:p>
    <w:p>
      <w:r>
        <w:t>The $8.0 million budget reconciles to $7.4 million of operating costs and a $0.6 million reserve. The quarterly outflows reconcile to operating costs. The base cash plan includes no uncontracted revenue. The revision excludes clinical development and GMP manufacturing from the seed budget and shows that a 30% laboratory-cost overrun exceeds the reserve by $0.27 million.</w:t>
      </w:r>
    </w:p>
    <w:p>
      <w:r>
        <w:t>The initial commercial route is a defined discovery collaboration or mechanism option. Buyer counts and pilot pricing are assumptions to validate. No customer, contract, company valuation or likely exit is represented as established. Competitor disclosures are dated and attributed, including the limited interpretation of Life Biosciences' October 2026 interim observations.</w:t>
      </w:r>
    </w:p>
    <w:p>
      <w:r>
        <w:br w:type="page"/>
      </w:r>
    </w:p>
    <w:p>
      <w:pPr>
        <w:pStyle w:val="Heading1"/>
      </w:pPr>
      <w:r>
        <w:t>Outstanding diligence and unresolved decisions</w:t>
      </w:r>
    </w:p>
    <w:p>
      <w:r>
        <w:t>The following items cannot be solved by editorial revision. They require primary documents, appointments, quotations or experiments. Their absence must be visible in investor discussions.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600"/>
        <w:gridCol w:w="3672"/>
      </w:tblGrid>
      <w:tr>
        <w:trPr>
          <w:cantSplit/>
          <w:tblHeader/>
        </w:trPr>
        <w:tc>
          <w:tcPr>
            <w:tcW w:type="dxa" w:w="2664"/>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Item</w:t>
            </w:r>
          </w:p>
        </w:tc>
        <w:tc>
          <w:tcPr>
            <w:tcW w:type="dxa" w:w="3600"/>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Present status</w:t>
            </w:r>
          </w:p>
        </w:tc>
        <w:tc>
          <w:tcPr>
            <w:tcW w:type="dxa" w:w="3672"/>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Evidence required</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Company and founder commitments</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Formation details unconfirmed</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Entity, cap table, roles, time allocation and authority</w:t>
            </w:r>
          </w:p>
        </w:tc>
      </w:tr>
      <w:tr>
        <w:trPr>
          <w:cantSplit/>
        </w:trPr>
        <w:tc>
          <w:tcPr>
            <w:tcW w:type="dxa" w:w="2664"/>
            <w:vAlign w:val="center"/>
            <w:tcMar>
              <w:top w:w="80" w:type="dxa"/>
              <w:bottom w:w="80" w:type="dxa"/>
              <w:left w:w="95" w:type="dxa"/>
              <w:right w:w="95" w:type="dxa"/>
            </w:tcMar>
            <w:shd w:fill="F3F6F8"/>
          </w:tcPr>
          <w:p>
            <w:r>
              <w:rPr>
                <w:rFonts w:ascii="Calibri" w:hAnsi="Calibri"/>
                <w:sz w:val="18"/>
              </w:rPr>
              <w:t>Coauthor backgrounds</w:t>
            </w:r>
          </w:p>
        </w:tc>
        <w:tc>
          <w:tcPr>
            <w:tcW w:type="dxa" w:w="3600"/>
            <w:vAlign w:val="center"/>
            <w:tcMar>
              <w:top w:w="80" w:type="dxa"/>
              <w:bottom w:w="80" w:type="dxa"/>
              <w:left w:w="95" w:type="dxa"/>
              <w:right w:w="95" w:type="dxa"/>
            </w:tcMar>
            <w:shd w:fill="F3F6F8"/>
          </w:tcPr>
          <w:p>
            <w:r>
              <w:rPr>
                <w:rFonts w:ascii="Calibri" w:hAnsi="Calibri"/>
                <w:sz w:val="18"/>
              </w:rPr>
              <w:t>Peter Lee, PhD, MD; Zhimin Zheng, PhD</w:t>
            </w:r>
          </w:p>
        </w:tc>
        <w:tc>
          <w:tcPr>
            <w:tcW w:type="dxa" w:w="3672"/>
            <w:vAlign w:val="center"/>
            <w:tcMar>
              <w:top w:w="80" w:type="dxa"/>
              <w:bottom w:w="80" w:type="dxa"/>
              <w:left w:w="95" w:type="dxa"/>
              <w:right w:w="95" w:type="dxa"/>
            </w:tcMar>
            <w:shd w:fill="F3F6F8"/>
          </w:tcPr>
          <w:p>
            <w:r>
              <w:rPr>
                <w:rFonts w:ascii="Calibri" w:hAnsi="Calibri"/>
                <w:sz w:val="18"/>
              </w:rPr>
              <w:t>Approved biographies and relevant contributions</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Background intellectual property</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Ownership not established in this plan</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Employment obligations, assignments and license register</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Experimental leadership</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Appointment required</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Named lead with relevant execution experience</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Biological lead or target</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None validated by the present evidence</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Prospective functional confirmation and rescue</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Qualified assay and power</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Proposed design</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Pilot variance, reference gap and analysis lock</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Laboratory costs</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Planning assumptions</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Written scopes and quotations without double counting</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Delivery and indication</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Provisional</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Mechanism-specific feasibility and development advice</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Commercial demand</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No signed pilot represented</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Buyer interviews and negotiated scopes</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Long-term safety</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Not established</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Risk-based studies appropriate to the selected modality</w:t>
            </w:r>
          </w:p>
        </w:tc>
      </w:tr>
    </w:tbl>
    <w:p>
      <w:pPr>
        <w:spacing w:after="20"/>
      </w:pPr>
    </w:p>
    <w:p>
      <w:r>
        <w:t>Recommended financing sequence</w:t>
      </w:r>
    </w:p>
    <w:p>
      <w:r>
        <w:t>Use a nonconfidential introduction to discuss fit and the first-quarter de-risking work. Disclose the current computational evidence accurately. Share detailed unpublished interventions only through an appropriate diligence process. A lead investor should inspect the archived pilot and rights register before relying on those assets.</w:t>
      </w:r>
    </w:p>
    <w:p>
      <w:r>
        <w:t>The plan is suitable for exploratory investor conversations. It is not a substitute for a completed team, a biological dataset, independent legal advice or an experimentally supported development candidate. Remaining uncertainties are investment decisions, not wording problems.</w:t>
      </w:r>
    </w:p>
    <w:p>
      <w:r>
        <w:t>Review scope</w:t>
      </w:r>
    </w:p>
    <w:p>
      <w:r>
        <w:t>This memo records scientific, commercial, numerical and editorial review performed during preparation. It is not an independent scientific endorsement, legal opinion or external investment-committee approval. No new biological experiment or rerun of the earlier computational pilot was performed in this preparation.</w:t>
      </w:r>
    </w:p>
    <w:sectPr w:rsidR="00FC693F" w:rsidRPr="0006063C" w:rsidSect="00034616">
      <w:footerReference w:type="default" r:id="rId9"/>
      <w:pgSz w:w="12240" w:h="15840"/>
      <w:pgMar w:top="965" w:right="1152" w:bottom="936" w:left="115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7" w:lineRule="auto"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20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80" w:after="2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8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before="8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val="0"/>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Cellular rejuvenation plan review and financing readiness</dc:title>
  <dc:subject>Cellular rejuvenation mechanisms and venture development</dc:subject>
  <dc:creator>David Xu, PhD   Peter Lee, PhD, MD   Zhimin Zheng, PhD</dc:creator>
  <cp:keywords>cellular rejuvenation, causal AI, aging, investment</cp:keywords>
  <dc:description>generated by python-docx</dc:description>
  <cp:lastModifiedBy/>
  <cp:revision>1</cp:revision>
  <dcterms:created xsi:type="dcterms:W3CDTF">2013-12-23T23:15:00Z</dcterms:created>
  <dcterms:modified xsi:type="dcterms:W3CDTF">2013-12-23T23:15:00Z</dcterms:modified>
  <cp:category/>
</cp:coreProperties>
</file>