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</w:rPr>
        <w:t>现有技术检索报告</w:t>
      </w:r>
      <w:r>
        <w:br/>
      </w:r>
      <w:r>
        <w:t>Prior Art Search Report</w:t>
        <w:br/>
      </w:r>
      <w:r>
        <w:t>研发智能体外部作业协调及完成控制</w:t>
        <w:br/>
      </w:r>
      <w:r>
        <w:t>R&amp;D Agent Job Reconciliation and Completion Control</w:t>
      </w:r>
    </w:p>
    <w:p>
      <w:pPr>
        <w:pStyle w:val="Author"/>
      </w:pPr>
      <w:r>
        <w:t>中国移动通信有限公司研究院</w:t>
      </w:r>
    </w:p>
    <w:p>
      <w:pPr>
        <w:pStyle w:val="Date"/>
      </w:pPr>
      <w:r>
        <w:t>2026-10-13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t>检索参数 / Search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参数 / 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内容 / Value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检索日期 / Search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2026-10-13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检索数据库 / Databases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Google Patents文献页；Temporal、LangGraph、Bazel及AutoGen原始资料；CNIPA法律和指南；项目源代码及现有测试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检索时间范围 /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截至2026-10-13，不限起始年份；本案有效申请日另行核定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检索语言 / 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英语 / English，中文 / Chinese</w:t>
            </w:r>
          </w:p>
        </w:tc>
      </w:tr>
    </w:tbl>
    <w:p>
      <w:pPr>
        <w:pStyle w:val="BodyText"/>
      </w:pPr>
      <w:r>
        <w:t>检索方法为公开号与题名核对、关键词组合、同族识别及逐要件比较。未进行官方数据库穷尽检索、全量同族与审查档案核查或自由实施分析。对应交底书重点为A+C+E，B/D为从属，F不列入本案权利要求。</w:t>
      </w:r>
    </w:p>
    <w:p>
      <w:pPr>
        <w:pStyle w:val="Heading2"/>
      </w:pPr>
      <w:r>
        <w:t>使用的关键词 / Keywords Used</w:t>
      </w:r>
    </w:p>
    <w:p>
      <w:pPr>
        <w:pStyle w:val="FirstParagraph"/>
      </w:pPr>
      <w:r>
        <w:t>英文关键词 / English Keywords:</w:t>
      </w:r>
    </w:p>
    <w:p>
      <w:pPr>
        <w:numPr>
          <w:ilvl w:val="0"/>
          <w:numId w:val="1001"/>
        </w:numPr>
      </w:pPr>
      <w:r>
        <w:t>AI agent orchestration; large language model agent; task DAG; workflow checkpoint; durable execution</w:t>
      </w:r>
    </w:p>
    <w:p>
      <w:pPr>
        <w:numPr>
          <w:ilvl w:val="0"/>
          <w:numId w:val="1001"/>
        </w:numPr>
      </w:pPr>
      <w:r>
        <w:t>model-driven multi-agent; lease fencing; stale worker; idempotent job; reconciliation; external side effect</w:t>
      </w:r>
    </w:p>
    <w:p>
      <w:pPr>
        <w:numPr>
          <w:ilvl w:val="0"/>
          <w:numId w:val="1001"/>
        </w:numPr>
      </w:pPr>
      <w:r>
        <w:t>verification evidence; autonomous software development; certificate tree; incremental verification; agent recovery</w:t>
      </w:r>
    </w:p>
    <w:p>
      <w:pPr>
        <w:pStyle w:val="BodyText"/>
      </w:pPr>
      <w:r>
        <w:t>中文关键词 / Chinese Keywords:</w:t>
      </w:r>
    </w:p>
    <w:p>
      <w:pPr>
        <w:numPr>
          <w:ilvl w:val="0"/>
          <w:numId w:val="1001"/>
        </w:numPr>
      </w:pPr>
      <w:r>
        <w:t>大语言模型 智能体任务编排；动态 DAG；任务恢复；多智能体协同</w:t>
      </w:r>
    </w:p>
    <w:p>
      <w:pPr>
        <w:numPr>
          <w:ilvl w:val="0"/>
          <w:numId w:val="1001"/>
        </w:numPr>
      </w:pPr>
      <w:r>
        <w:t>租约代际；迟到写入；远程作业幂等；不确定提交；机器验证</w:t>
      </w:r>
    </w:p>
    <w:p>
      <w:pPr>
        <w:numPr>
          <w:ilvl w:val="0"/>
          <w:numId w:val="1001"/>
        </w:numPr>
      </w:pPr>
      <w:r>
        <w:t>代码集成验收；证据图谱；检查项增量更新</w:t>
      </w:r>
    </w:p>
    <w:p>
      <w:pPr>
        <w:pStyle w:val="BodyText"/>
      </w:pPr>
      <w:r>
        <w:rPr>
          <w:b/>
        </w:rPr>
        <w:t>检索记录与判读口径：</w:t>
      </w:r>
    </w:p>
    <w:p>
      <w:pPr>
        <w:pStyle w:val="BodyText"/>
      </w:pPr>
      <w:r>
        <w:t>本报告的 A—E 是内容分组，与专利局检索报告中表示文献相关性的 X、Y、A 类别没有对应关系。表中的高、中风险表示与候选特征的技术接近程度及后续核查优先级，不是授权概率或官方结论。新颖性应按单一对比文献的完整公开判断；多篇文献的组合问题属于创造性评价，不能混用。</w:t>
      </w:r>
    </w:p>
    <w:p>
      <w:pPr>
        <w:pStyle w:val="BodyText"/>
      </w:pPr>
      <w:r>
        <w:t>2026-10-13 执行下列公开网页查询，并逐件打开本文列出的专利文献，核对标题、公开日期及所引权利要求。该记录不是官方数据库的全量检索式或命中统计。</w:t>
      </w:r>
    </w:p>
    <w:p>
      <w:pPr>
        <w:pStyle w:val="BodyText"/>
      </w:pPr>
      <w:r>
        <w:t>公开网页检索：site.cnipa.gov.cn 2026 专利审查指南 人工智能 算法 技术问题 技术效果。</w:t>
      </w:r>
    </w:p>
    <w:p>
      <w:pPr>
        <w:pStyle w:val="BodyText"/>
      </w:pPr>
      <w:r>
        <w:t>公开网页检索：site.patents.google.com patent multi agent coding evidence version lease validation context compression。</w:t>
      </w:r>
    </w:p>
    <w:p>
      <w:pPr>
        <w:pStyle w:val="BodyText"/>
      </w:pPr>
      <w:r>
        <w:t>题名及公开号核查：CN120560815A；The immortal life of Pi；按原报告各公开号逐件访问。</w:t>
      </w:r>
    </w:p>
    <w:p>
      <w:pPr>
        <w:pStyle w:val="BodyText"/>
      </w:pPr>
      <w:r>
        <w:t>法律及单位名称核查：site.cnipa.gov.cn 专利法 第二十二条 第二十四条 第二十六条 2020；中国移动通信有限公司研究院。</w:t>
      </w:r>
    </w:p>
    <w:p>
      <w:pPr>
        <w:pStyle w:val="BodyText"/>
      </w:pPr>
      <w:r>
        <w:t>本次复核代码基线：</w:t>
      </w:r>
      <w:r>
        <w:rPr>
          <w:rStyle w:val="VerbatimChar"/>
        </w:rPr>
        <w:t>249b8ccafee935a66accab3ae37c65742b11ecd3</w:t>
      </w:r>
      <w:r>
        <w:t>。已运行七个现有测试文件共103项，全部通过；属于宿主及受控适配器行为证据，不是专利新颖性证据。无明确历史版本时间戳的滚动产品文档仅作为技术背景，不能仅凭本次访问时间认定其在本案有效申请日前公开。</w:t>
      </w:r>
    </w:p>
    <w:p>
      <w:pPr>
        <w:pStyle w:val="Heading1"/>
      </w:pPr>
      <w:r>
        <w:t>A类：基础性现有技术 / Category A: Foundational Prior Art</w:t>
      </w:r>
    </w:p>
    <w:p>
      <w:pPr>
        <w:pStyle w:val="Heading2"/>
      </w:pPr>
      <w:r>
        <w:t>A1. 大模型多智能体协作框架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/>
          <w:p>
            <w:pPr>
              <w:pStyle w:val="Compact"/>
              <w:jc w:val="left"/>
            </w:pPr>
            <w:r>
              <w:t>内容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文献</w:t>
            </w:r>
          </w:p>
        </w:tc>
        <w:tc>
          <w:tcPr/>
          <w:p>
            <w:pPr>
              <w:pStyle w:val="Compact"/>
              <w:jc w:val="left"/>
            </w:pPr>
            <w:r>
              <w:t>AutoGen；Wu 等；arXiv:2308.08155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公开时间</w:t>
            </w:r>
          </w:p>
        </w:tc>
        <w:tc>
          <w:tcPr/>
          <w:p>
            <w:pPr>
              <w:pStyle w:val="Compact"/>
              <w:jc w:val="left"/>
            </w:pPr>
            <w:r>
              <w:t>2023年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/>
          <w:p>
            <w:pPr>
              <w:pStyle w:val="Compact"/>
              <w:jc w:val="left"/>
            </w:pPr>
            <w:r>
              <w:t>多智能体对话及工具协作原论文</w:t>
            </w:r>
          </w:p>
        </w:tc>
      </w:tr>
    </w:tbl>
    <w:p>
      <w:pPr>
        <w:pStyle w:val="BodyText"/>
      </w:pPr>
      <w:r>
        <w:t>文献：Wu 等，《AutoGen: Enabling Next-Gen LLM Applications via Multi-Agent Conversation》，2023，arXiv:2308.08155，</w:t>
      </w:r>
      <w:hyperlink r:id="rId1">
        <w:r>
          <w:rPr>
            <w:rStyle w:val="Hyperlink"/>
          </w:rPr>
          <w:t>AutoGen 原论文</w:t>
        </w:r>
      </w:hyperlink>
      <w:r>
        <w:t xml:space="preserve"> 。</w:t>
      </w:r>
    </w:p>
    <w:p>
      <w:pPr>
        <w:pStyle w:val="BodyText"/>
      </w:pPr>
      <w:r>
        <w:t>主要内容：多个可对话 Agent 协作、工具使用及对话编排。与本交底书的关系：证明“多智能体+调用工具+讨论/协调”是已知范式；该文献不是本发明架构的唯一背景，也不能据此断言其没有任何执行验证机制。潜在区别须落在具体的提议哈希绑定、代际租约和远端副作用恢复状态上，而非 Agent 数量。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本方案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AutoGen公开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分析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多智能体工具协作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已公开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属于背景技术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授权身份绑定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宿主双边界核验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需查全文对应机制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不由代理数量证明新颖性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目标完成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外部作业和工件联合门控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未完成全部要件比对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完整组合仍未确认</w:t>
            </w:r>
          </w:p>
        </w:tc>
      </w:tr>
    </w:tbl>
    <w:p>
      <w:pPr>
        <w:pStyle w:val="Heading2"/>
      </w:pPr>
      <w:r>
        <w:t>A2. 持久工作流与故障重放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/>
          <w:p>
            <w:pPr>
              <w:pStyle w:val="Compact"/>
              <w:jc w:val="left"/>
            </w:pPr>
            <w:r>
              <w:t>内容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资料</w:t>
            </w:r>
          </w:p>
        </w:tc>
        <w:tc>
          <w:tcPr/>
          <w:p>
            <w:pPr>
              <w:pStyle w:val="Compact"/>
              <w:jc w:val="left"/>
            </w:pPr>
            <w:r>
              <w:t>Temporal Event History / Understanding Temporal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类型及公开时点</w:t>
            </w:r>
          </w:p>
        </w:tc>
        <w:tc>
          <w:tcPr/>
          <w:p>
            <w:pPr>
              <w:pStyle w:val="Compact"/>
              <w:jc w:val="left"/>
            </w:pPr>
            <w:r>
              <w:t>滚动产品文档；申请日前版本需核查存档</w:t>
            </w:r>
          </w:p>
        </w:tc>
      </w:tr>
    </w:tbl>
    <w:p>
      <w:pPr>
        <w:pStyle w:val="BodyText"/>
      </w:pPr>
      <w:r>
        <w:t>资料：Temporal《Event History》《Understanding Temporal》，</w:t>
      </w:r>
      <w:hyperlink r:id="rId9">
        <w:r>
          <w:rPr>
            <w:rStyle w:val="Hyperlink"/>
          </w:rPr>
          <w:t>Temporal Event History</w:t>
        </w:r>
      </w:hyperlink>
      <w:r>
        <w:t xml:space="preserve"> 、</w:t>
      </w:r>
      <w:hyperlink r:id="rId10">
        <w:r>
          <w:rPr>
            <w:rStyle w:val="Hyperlink"/>
          </w:rPr>
          <w:t>Understanding Temporal</w:t>
        </w:r>
      </w:hyperlink>
      <w:r>
        <w:t xml:space="preserve"> 。</w:t>
      </w:r>
    </w:p>
    <w:p>
      <w:pPr>
        <w:pStyle w:val="BodyText"/>
      </w:pPr>
      <w:r>
        <w:t>主要内容：将事件追加到持久历史，通过事件重放恢复 Workflow，管理 Activity 与失败重试。与本发明的关系：持久工作流、事件日志、崩溃恢复和重试都已广泛公开。本发明不能主张这些基础机制单独新颖；需限定“模型提议准入—冻结目标—外部实验不确定状态—最终证据门控”这一特定相互约束的技术流程。</w:t>
      </w:r>
    </w:p>
    <w:p>
      <w:pPr>
        <w:pStyle w:val="Heading2"/>
      </w:pPr>
      <w:r>
        <w:t>A3. 智能体图持久化与检查点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/>
          <w:p>
            <w:pPr>
              <w:pStyle w:val="Compact"/>
              <w:jc w:val="left"/>
            </w:pPr>
            <w:r>
              <w:t>内容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资料</w:t>
            </w:r>
          </w:p>
        </w:tc>
        <w:tc>
          <w:tcPr/>
          <w:p>
            <w:pPr>
              <w:pStyle w:val="Compact"/>
              <w:jc w:val="left"/>
            </w:pPr>
            <w:r>
              <w:t>LangGraph Persistence / Durable Execution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类型及公开时点</w:t>
            </w:r>
          </w:p>
        </w:tc>
        <w:tc>
          <w:tcPr/>
          <w:p>
            <w:pPr>
              <w:pStyle w:val="Compact"/>
              <w:jc w:val="left"/>
            </w:pPr>
            <w:r>
              <w:t>滚动产品文档；申请日前版本需核查存档</w:t>
            </w:r>
          </w:p>
        </w:tc>
      </w:tr>
    </w:tbl>
    <w:p>
      <w:pPr>
        <w:pStyle w:val="BodyText"/>
      </w:pPr>
      <w:r>
        <w:t>资料：LangGraph《Persistence》，</w:t>
      </w:r>
      <w:hyperlink r:id="rId11">
        <w:r>
          <w:rPr>
            <w:rStyle w:val="Hyperlink"/>
          </w:rPr>
          <w:t>LangGraph Persistence</w:t>
        </w:r>
      </w:hyperlink>
      <w:r>
        <w:t xml:space="preserve"> （亦可参见 </w:t>
      </w:r>
      <w:hyperlink r:id="rId12">
        <w:r>
          <w:rPr>
            <w:rStyle w:val="Hyperlink"/>
          </w:rPr>
          <w:t>LangGraph Durable Execution</w:t>
        </w:r>
      </w:hyperlink>
      <w:r>
        <w:t xml:space="preserve"> ）。</w:t>
      </w:r>
    </w:p>
    <w:p>
      <w:pPr>
        <w:pStyle w:val="BodyText"/>
      </w:pPr>
      <w:r>
        <w:t>主要内容：执行图的 checkpointer、线程状态持久化、故障恢复、人机交互恢复。风险：以“任务 DAG + 检查点 + 可恢复”概括权利要求，容易与该方案及更早工作流引擎重合。候选差异不在检查点本身，而在被权限和版本绑定的跨外部系统完成证明。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本方案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LangGraph及待核差异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执行图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持久任务图</w:t>
            </w:r>
          </w:p>
        </w:tc>
        <w:tc>
          <w:tcPr/>
          <w:p>
            <w:pPr>
              <w:pStyle w:val="Compact"/>
              <w:jc w:val="left"/>
            </w:pPr>
            <w:r>
              <w:t>图及检查点已有公开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故障恢复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重放身份与状态</w:t>
            </w:r>
          </w:p>
        </w:tc>
        <w:tc>
          <w:tcPr/>
          <w:p>
            <w:pPr>
              <w:pStyle w:val="Compact"/>
              <w:jc w:val="left"/>
            </w:pPr>
            <w:r>
              <w:t>检查点恢复已有公开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副作用边界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当前租约及提议复核</w:t>
            </w:r>
          </w:p>
        </w:tc>
        <w:tc>
          <w:tcPr/>
          <w:p>
            <w:pPr>
              <w:pStyle w:val="Compact"/>
              <w:jc w:val="left"/>
            </w:pPr>
            <w:r>
              <w:t>需逐要件比较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完成证明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冻结契约与未决作业门控</w:t>
            </w:r>
          </w:p>
        </w:tc>
        <w:tc>
          <w:tcPr/>
          <w:p>
            <w:pPr>
              <w:pStyle w:val="Compact"/>
              <w:jc w:val="left"/>
            </w:pPr>
            <w:r>
              <w:t>不能仅以检查点推断区别</w:t>
            </w:r>
          </w:p>
        </w:tc>
      </w:tr>
    </w:tbl>
    <w:p>
      <w:pPr>
        <w:pStyle w:val="Heading1"/>
      </w:pPr>
      <w:r>
        <w:t>B类：相关智能体编排现有技术 / Category B: Related Agent Orchestration Prior Art</w:t>
      </w:r>
    </w:p>
    <w:p>
      <w:pPr>
        <w:pStyle w:val="Heading2"/>
      </w:pPr>
      <w:r>
        <w:t>B1. 基于大语言模型的任务拆解与 DAG 编排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/>
          <w:p>
            <w:pPr>
              <w:pStyle w:val="Compact"/>
              <w:jc w:val="left"/>
            </w:pPr>
            <w:r>
              <w:t>内容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文献/资料</w:t>
            </w:r>
          </w:p>
        </w:tc>
        <w:tc>
          <w:tcPr/>
          <w:p>
            <w:pPr>
              <w:pStyle w:val="Compact"/>
              <w:jc w:val="left"/>
            </w:pPr>
            <w:r>
              <w:t>CN120560815A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公开时间及范围</w:t>
            </w:r>
          </w:p>
        </w:tc>
        <w:tc>
          <w:tcPr/>
          <w:p>
            <w:pPr>
              <w:pStyle w:val="Compact"/>
              <w:jc w:val="left"/>
            </w:pPr>
            <w:r>
              <w:t>2025-08-29公开；优先权日2025-06-26</w:t>
            </w:r>
          </w:p>
        </w:tc>
      </w:tr>
    </w:tbl>
    <w:p>
      <w:pPr>
        <w:pStyle w:val="BodyText"/>
      </w:pPr>
      <w:r>
        <w:t>专利：CN120560815A，《一种基于大语言模型的任务拆解与多智能体编排执行系统及方法》，记录的优先权日2025-06-26，公开日2025-08-29；重点核查权利要求1、6—10。</w:t>
      </w:r>
      <w:hyperlink r:id="rId13">
        <w:r>
          <w:rPr>
            <w:rStyle w:val="Hyperlink"/>
          </w:rPr>
          <w:t>CN120560815A 文献页</w:t>
        </w:r>
      </w:hyperlink>
      <w:r>
        <w:t xml:space="preserve"> 。</w:t>
      </w:r>
    </w:p>
    <w:p>
      <w:pPr>
        <w:pStyle w:val="BodyText"/>
      </w:pPr>
      <w:r>
        <w:t>公开要点：权利要求1列出任务解析、DAG构建、资源并发调度和缓存优化；其余权项补充节点元信息、线程并发、异步执行和调试监控。与本申请的重合度：高（动态任务图和多智能体并行）；可能区别：在已核查权利要求中未定位到本案完整的授权绑定—远端未知作业—最终集成再检查链路；这不等于排除说明书其他段落或其他文献的公开。</w:t>
      </w:r>
    </w:p>
    <w:p>
      <w:pPr>
        <w:pStyle w:val="Heading2"/>
      </w:pPr>
      <w:r>
        <w:t>B2. 模型驱动动态工作流调整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/>
          <w:p>
            <w:pPr>
              <w:pStyle w:val="Compact"/>
              <w:jc w:val="left"/>
            </w:pPr>
            <w:r>
              <w:t>内容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文献/资料</w:t>
            </w:r>
          </w:p>
        </w:tc>
        <w:tc>
          <w:tcPr/>
          <w:p>
            <w:pPr>
              <w:pStyle w:val="Compact"/>
              <w:jc w:val="left"/>
            </w:pPr>
            <w:r>
              <w:t>US20260127463A1 / EP4742096A1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公开时间及范围</w:t>
            </w:r>
          </w:p>
        </w:tc>
        <w:tc>
          <w:tcPr/>
          <w:p>
            <w:pPr>
              <w:pStyle w:val="Compact"/>
              <w:jc w:val="left"/>
            </w:pPr>
            <w:r>
              <w:t>2026-05-07 / 2026-05-13公开；优先权日2024-11-07</w:t>
            </w:r>
          </w:p>
        </w:tc>
      </w:tr>
    </w:tbl>
    <w:p>
      <w:pPr>
        <w:pStyle w:val="BodyText"/>
      </w:pPr>
      <w:r>
        <w:t>专利族：US20260127463A1 / EP4742096A1，《Flow orchestration for model-based agents》，优先权日2024-11-07，分别于2026-05-07与2026-05-13公开，</w:t>
      </w:r>
      <w:hyperlink r:id="rId14">
        <w:r>
          <w:rPr>
            <w:rStyle w:val="Hyperlink"/>
          </w:rPr>
          <w:t>US20260127463A1 文献页</w:t>
        </w:r>
      </w:hyperlink>
      <w:r>
        <w:t xml:space="preserve"> 、</w:t>
      </w:r>
      <w:hyperlink r:id="rId15">
        <w:r>
          <w:rPr>
            <w:rStyle w:val="Hyperlink"/>
          </w:rPr>
          <w:t>EP4742096A1 文献页</w:t>
        </w:r>
      </w:hyperlink>
      <w:r>
        <w:t xml:space="preserve"> 。</w:t>
      </w:r>
    </w:p>
    <w:p>
      <w:pPr>
        <w:pStyle w:val="BodyText"/>
      </w:pPr>
      <w:r>
        <w:t>公开要点：权利要求1记载多步多轮智能体工作流、取得部分数据后由生成式模型调整工作流；权利要求4细化智能体顺序调整。与本发明的重合度：中高（动态编排）；区别主张须强调：原已准入父任务规格不变、宿主根据散列与租约复核、模型不能改变验收边界。该专利族对广义“自适应 Agent 计划”权利要求形成直接挑战。</w:t>
      </w:r>
    </w:p>
    <w:p>
      <w:pPr>
        <w:pStyle w:val="Heading2"/>
      </w:pPr>
      <w:r>
        <w:t>B3. 生成式 AI 指导的多智能体任务管理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/>
          <w:p>
            <w:pPr>
              <w:pStyle w:val="Compact"/>
              <w:jc w:val="left"/>
            </w:pPr>
            <w:r>
              <w:t>内容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文献/资料</w:t>
            </w:r>
          </w:p>
        </w:tc>
        <w:tc>
          <w:tcPr/>
          <w:p>
            <w:pPr>
              <w:pStyle w:val="Compact"/>
              <w:jc w:val="left"/>
            </w:pPr>
            <w:r>
              <w:t>US20250356313A1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公开时间及范围</w:t>
            </w:r>
          </w:p>
        </w:tc>
        <w:tc>
          <w:tcPr/>
          <w:p>
            <w:pPr>
              <w:pStyle w:val="Compact"/>
              <w:jc w:val="left"/>
            </w:pPr>
            <w:r>
              <w:t>2025-11-20公开；优先权日2024-05-20</w:t>
            </w:r>
          </w:p>
        </w:tc>
      </w:tr>
    </w:tbl>
    <w:p>
      <w:pPr>
        <w:pStyle w:val="BodyText"/>
      </w:pPr>
      <w:r>
        <w:t>专利：US20250356313A1，《Multi-agent task management guided by generative artificial intelligence》，公开日2025-11-20，记录的优先权日2024-05-20；核查权利要求1及任务完成流程说明。</w:t>
      </w:r>
      <w:hyperlink r:id="rId16">
        <w:r>
          <w:rPr>
            <w:rStyle w:val="Hyperlink"/>
          </w:rPr>
          <w:t>US20250356313A1 文献页</w:t>
        </w:r>
      </w:hyperlink>
      <w:r>
        <w:t xml:space="preserve"> 。</w:t>
      </w:r>
    </w:p>
    <w:p>
      <w:pPr>
        <w:pStyle w:val="BodyText"/>
      </w:pPr>
      <w:r>
        <w:t>公开要点：任务管理 Agent、执行 Agent、子任务创建、AI 输出评价与上下文更新。与本发明重合度：高（任务分解、执行、结果评价）；潜在区别需具体落到外部作业提交前意图、UNKNOWN 协调和目标完成的机器验收条件。不得将“模型与任务管理分层”单独作为新颖性结论。</w:t>
      </w:r>
    </w:p>
    <w:p>
      <w:pPr>
        <w:pStyle w:val="Heading1"/>
      </w:pPr>
      <w:r>
        <w:t>C类：执行可靠性与协议现有技术 / Category C: Reliable Execution and Protocol Prior Art</w:t>
      </w:r>
    </w:p>
    <w:p>
      <w:pPr>
        <w:pStyle w:val="Heading2"/>
      </w:pPr>
      <w:r>
        <w:t>C1. 通用租约、事务与任务重放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/>
          <w:p>
            <w:pPr>
              <w:pStyle w:val="Compact"/>
              <w:jc w:val="left"/>
            </w:pPr>
            <w:r>
              <w:t>内容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文献/资料</w:t>
            </w:r>
          </w:p>
        </w:tc>
        <w:tc>
          <w:tcPr/>
          <w:p>
            <w:pPr>
              <w:pStyle w:val="Compact"/>
              <w:jc w:val="left"/>
            </w:pPr>
            <w:r>
              <w:t>Temporal事件历史、租约及事务性重放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公开时间及范围</w:t>
            </w:r>
          </w:p>
        </w:tc>
        <w:tc>
          <w:tcPr/>
          <w:p>
            <w:pPr>
              <w:pStyle w:val="Compact"/>
              <w:jc w:val="left"/>
            </w:pPr>
            <w:r>
              <w:t>工程背景；滚动文档历史公开时点待核</w:t>
            </w:r>
          </w:p>
        </w:tc>
      </w:tr>
    </w:tbl>
    <w:p>
      <w:pPr>
        <w:pStyle w:val="BodyText"/>
      </w:pPr>
      <w:r>
        <w:t>Temporal 的事件历史和 Activity 重试、通用分布式锁 fencing token、事务性唯一键及退避机制均属于已知工程手段。原交底书把租约代际、事件存储与重试本身称为创新容易被质疑。需具体比较的是模型提议载荷与当前 fence、冻结契约的反复绑定及其与外部作业的同一目标门控。</w:t>
      </w:r>
    </w:p>
    <w:p>
      <w:pPr>
        <w:pStyle w:val="BodyText"/>
      </w:pPr>
      <w:r>
        <w:t>参考：</w:t>
      </w:r>
      <w:hyperlink r:id="rId9">
        <w:r>
          <w:rPr>
            <w:rStyle w:val="Hyperlink"/>
          </w:rPr>
          <w:t>Temporal Event History</w:t>
        </w:r>
      </w:hyperlink>
      <w:r>
        <w:t xml:space="preserve"> ；</w:t>
      </w:r>
      <w:hyperlink r:id="rId10">
        <w:r>
          <w:rPr>
            <w:rStyle w:val="Hyperlink"/>
          </w:rPr>
          <w:t>Understanding Temporal</w:t>
        </w:r>
      </w:hyperlink>
      <w:r>
        <w:t xml:space="preserve"> 。上述滚动文档的精确历史公开时点需另查存档，不能代替申请日前公开证据。</w:t>
      </w:r>
    </w:p>
    <w:p>
      <w:pPr>
        <w:pStyle w:val="Heading2"/>
      </w:pPr>
      <w:r>
        <w:t>C2. 内容寻址、幂等键与远端副作用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/>
          <w:p>
            <w:pPr>
              <w:pStyle w:val="Compact"/>
              <w:jc w:val="left"/>
            </w:pPr>
            <w:r>
              <w:t>内容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文献/资料</w:t>
            </w:r>
          </w:p>
        </w:tc>
        <w:tc>
          <w:tcPr/>
          <w:p>
            <w:pPr>
              <w:pStyle w:val="Compact"/>
              <w:jc w:val="left"/>
            </w:pPr>
            <w:r>
              <w:t>Temporal Pi；Bazel Remote Execution API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公开时间及范围</w:t>
            </w:r>
          </w:p>
        </w:tc>
        <w:tc>
          <w:tcPr/>
          <w:p>
            <w:pPr>
              <w:pStyle w:val="Compact"/>
              <w:jc w:val="left"/>
            </w:pPr>
            <w:r>
              <w:t>Pi文章2026-10-08公开；接口版本公开时点待核</w:t>
            </w:r>
          </w:p>
        </w:tc>
      </w:tr>
    </w:tbl>
    <w:p>
      <w:pPr>
        <w:pStyle w:val="BodyText"/>
      </w:pPr>
      <w:r>
        <w:t>Bazel Remote Execution API 以输入摘要识别动作并支持远程缓存；内容寻址不等于远端物理作业具有幂等提交保证；Temporal 亦指出 Activity 重试需依赖外部接口的幂等性。稳定 key 和“重试安全”本身不足以支持宽泛权利要求。Future-Code 代码实际要求远程 job adapter 具备 idempotentEnsure：未知 job_id 时发送 ensure(key)，已知 job_id 时发送 inspect(jobId)，由远端保证重复 ensure 仅接续同一个作业；若远端不履约，仅凭本地日志不能提供 exactly-once。</w:t>
      </w:r>
    </w:p>
    <w:p>
      <w:pPr>
        <w:pStyle w:val="BodyText"/>
      </w:pPr>
      <w:r>
        <w:t>参考：</w:t>
      </w:r>
      <w:hyperlink r:id="rId17">
        <w:r>
          <w:rPr>
            <w:rStyle w:val="Hyperlink"/>
          </w:rPr>
          <w:t>Bazel 远程执行接口</w:t>
        </w:r>
      </w:hyperlink>
      <w:r>
        <w:t xml:space="preserve"> ；</w:t>
      </w:r>
      <w:hyperlink r:id="rId18">
        <w:r>
          <w:rPr>
            <w:rStyle w:val="Hyperlink"/>
          </w:rPr>
          <w:t>Temporal Saga 文章</w:t>
        </w:r>
      </w:hyperlink>
      <w:r>
        <w:t xml:space="preserve"> 。</w:t>
      </w:r>
    </w:p>
    <w:p>
      <w:pPr>
        <w:pStyle w:val="BodyText"/>
      </w:pPr>
      <w:r>
        <w:rPr>
          <w:b/>
        </w:rPr>
        <w:t>接近本申请的智能体未知结果恢复公开（重点风险）：</w:t>
      </w:r>
      <w:r>
        <w:t xml:space="preserve"> Temporal 于 </w:t>
      </w:r>
      <w:r>
        <w:rPr>
          <w:b/>
        </w:rPr>
        <w:t>2026-10-08</w:t>
      </w:r>
      <w:r>
        <w:t xml:space="preserve"> 发布《The immortal life of Pi (Running the Pi coding agent on Temporal)》，介绍执行工具前留下 pending 声明、执行中断后对结果标记 UNKNOWN、不自动重放工具调用，并让恢复后的 Agent 先确认外部状态。该公开与交底书技术特征 C 的“先登记意图、不确定不盲目重试”高度接近。未来差异化只能具体落在远端作业适配器的 </w:t>
      </w:r>
      <w:r>
        <w:rPr>
          <w:b/>
        </w:rPr>
        <w:t>idempotent ensure/inspect 契约、稳定绑定键、冻结目标级验收和持续冲突阻断</w:t>
      </w:r>
      <w:r>
        <w:t xml:space="preserve"> 的联动；即使如此，也不能排除该公开与 C1/C2 结合后导致创造性不足。</w:t>
      </w:r>
    </w:p>
    <w:p>
      <w:pPr>
        <w:pStyle w:val="BodyText"/>
      </w:pPr>
      <w:r>
        <w:t>核查：</w:t>
      </w:r>
      <w:hyperlink r:id="rId19">
        <w:r>
          <w:rPr>
            <w:rStyle w:val="Hyperlink"/>
          </w:rPr>
          <w:t>Temporal Pi 公开文章</w:t>
        </w:r>
      </w:hyperlink>
      <w:r>
        <w:t xml:space="preserve"> （发布日期 2026-10-08）。</w:t>
      </w:r>
    </w:p>
    <w:p>
      <w:pPr>
        <w:pStyle w:val="Heading1"/>
      </w:pPr>
      <w:r>
        <w:t>D类：证据验证与研发自动化现有技术 / Category D: Evidence and R&amp;D Automation Prior Art</w:t>
      </w:r>
    </w:p>
    <w:p>
      <w:pPr>
        <w:pStyle w:val="Heading2"/>
      </w:pPr>
      <w:r>
        <w:t>D1. 自主软件测试与独立验证专利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/>
          <w:p>
            <w:pPr>
              <w:pStyle w:val="Compact"/>
              <w:jc w:val="left"/>
            </w:pPr>
            <w:r>
              <w:t>内容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文献/资料</w:t>
            </w:r>
          </w:p>
        </w:tc>
        <w:tc>
          <w:tcPr/>
          <w:p>
            <w:pPr>
              <w:pStyle w:val="Compact"/>
              <w:jc w:val="left"/>
            </w:pPr>
            <w:r>
              <w:t>US12411758B1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公开时间及范围</w:t>
            </w:r>
          </w:p>
        </w:tc>
        <w:tc>
          <w:tcPr/>
          <w:p>
            <w:pPr>
              <w:pStyle w:val="Compact"/>
              <w:jc w:val="left"/>
            </w:pPr>
            <w:r>
              <w:t>2025-09-09授权公开</w:t>
            </w:r>
          </w:p>
        </w:tc>
      </w:tr>
    </w:tbl>
    <w:p>
      <w:pPr>
        <w:pStyle w:val="BodyText"/>
      </w:pPr>
      <w:r>
        <w:t>US12411758B1，《Autonomous software testing agent》，2025-09-09 授权公开。权利要求1(b)将通用验证规则与测试脚本区分，规则由自治代理使用；该要件没有直接要求另一个执行者之外的独立检查进程。原报告把两者概括为同一种“独立验证”过宽，现更正。该文献仍说明自治测试及规则化结果校验已有公开。Future-Code 候选区别在于工件/检查器版本绑定、未解决外部作业、强证据冲突和合并树最终检查共同阻断目标完成。</w:t>
      </w:r>
    </w:p>
    <w:p>
      <w:pPr>
        <w:pStyle w:val="BodyText"/>
      </w:pPr>
      <w:r>
        <w:t>核查：</w:t>
      </w:r>
      <w:hyperlink r:id="rId20">
        <w:r>
          <w:rPr>
            <w:rStyle w:val="Hyperlink"/>
          </w:rPr>
          <w:t>US12411758B1 文献页</w:t>
        </w:r>
      </w:hyperlink>
      <w:r>
        <w:t xml:space="preserve"> 。</w:t>
      </w:r>
    </w:p>
    <w:p>
      <w:pPr>
        <w:pStyle w:val="Heading2"/>
      </w:pPr>
      <w:r>
        <w:t>D2. AI 生成软件及其测试流程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/>
          <w:p>
            <w:pPr>
              <w:pStyle w:val="Compact"/>
              <w:jc w:val="left"/>
            </w:pPr>
            <w:r>
              <w:t>内容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文献/资料</w:t>
            </w:r>
          </w:p>
        </w:tc>
        <w:tc>
          <w:tcPr/>
          <w:p>
            <w:pPr>
              <w:pStyle w:val="Compact"/>
              <w:jc w:val="left"/>
            </w:pPr>
            <w:r>
              <w:t>US20260211802A1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公开时间及范围</w:t>
            </w:r>
          </w:p>
        </w:tc>
        <w:tc>
          <w:tcPr/>
          <w:p>
            <w:pPr>
              <w:pStyle w:val="Compact"/>
              <w:jc w:val="left"/>
            </w:pPr>
            <w:r>
              <w:t>2026-07-23公开</w:t>
            </w:r>
          </w:p>
        </w:tc>
      </w:tr>
    </w:tbl>
    <w:p>
      <w:pPr>
        <w:pStyle w:val="BodyText"/>
      </w:pPr>
      <w:r>
        <w:t>US20260211802A1，《Artificial Intelligence (AI) Assisted End-to-End Workflow Integration for Software Development in Digital Model Platforms》，公开日2026-07-23。权利要求1涉及数字模型平台、不可直接互操作工具、微调脚本代理、生成函数及单元测试并解释执行测试。其具体平台和微调限定不能略去；对宽泛“AI代码生成并测试”的主张构成相关背景。本申请必须进一步限定一致性控制、提交意图及外部作业验收条件。</w:t>
      </w:r>
    </w:p>
    <w:p>
      <w:pPr>
        <w:pStyle w:val="BodyText"/>
      </w:pPr>
      <w:r>
        <w:t>核查：</w:t>
      </w:r>
      <w:hyperlink r:id="rId21">
        <w:r>
          <w:rPr>
            <w:rStyle w:val="Hyperlink"/>
          </w:rPr>
          <w:t>US20260211802A1 文献页</w:t>
        </w:r>
      </w:hyperlink>
      <w:r>
        <w:t xml:space="preserve"> 。</w:t>
      </w:r>
    </w:p>
    <w:p>
      <w:pPr>
        <w:pStyle w:val="BodyText"/>
      </w:pPr>
      <w:r>
        <w:rPr>
          <w:b/>
        </w:rPr>
        <w:t>HACT 的证据层次布局：</w:t>
      </w:r>
      <w:r>
        <w:t xml:space="preserve"> Merkle 树、层次证据摘要、增量计算、缓存与内容寻址已广泛公开。Future-Code 的 stable check_id、generation-fenced publication ticket 和 completion hyperedge 布局选择需另行对照证据索引/层次更新/自适应布局文献。当前未完成该主题的专项专利检索，也无充分 live-WAN/在线大模型实证证明普适性能优势；上轮修订已从拟议权利要求移出，作为后续单独主题；对应位置改为目标修订谱系及完成记录重放。</w:t>
      </w:r>
    </w:p>
    <w:p>
      <w:pPr>
        <w:pStyle w:val="Heading1"/>
      </w:pPr>
      <w:r>
        <w:t>E类：专利检索结果 / Category E: Patent Search Results</w:t>
      </w:r>
    </w:p>
    <w:p>
      <w:pPr>
        <w:pStyle w:val="Heading2"/>
      </w:pPr>
      <w:r>
        <w:t>USPTO 检索结果</w:t>
      </w:r>
    </w:p>
    <w:p>
      <w:pPr>
        <w:pStyle w:val="FirstParagraph"/>
      </w:pPr>
      <w:r>
        <w:t>下表指</w:t>
      </w:r>
      <w:r>
        <w:rPr>
          <w:b/>
        </w:rPr>
        <w:t>美国公开专利文献</w:t>
      </w:r>
      <w:r>
        <w:t>；核查工具为 Google Patents 镜像，未声称完成 USPTO 官方站点的检索。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公开或授权号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主题 / 已公开核心特征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与本申请可核查的剩余区别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US20250356313A1</w:t>
            </w:r>
          </w:p>
        </w:tc>
        <w:tc>
          <w:tcPr/>
          <w:p>
            <w:pPr>
              <w:pStyle w:val="Compact"/>
              <w:jc w:val="left"/>
            </w:pPr>
            <w:r>
              <w:t>多 Agent 任务管理、子任务创建及结果评价；2025-11-20 公开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验收契约—远端任务 UNKNOWN—最终集成的联合门控需逐权项比对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US20260127463A1</w:t>
            </w:r>
          </w:p>
        </w:tc>
        <w:tc>
          <w:tcPr/>
          <w:p>
            <w:pPr>
              <w:pStyle w:val="Compact"/>
              <w:jc w:val="left"/>
            </w:pPr>
            <w:r>
              <w:t>模型动态调整多 Agent 工作流；2026-05-07 公开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冻结父任务与副作用前租约复核，不能泛称动态 DAG 新颖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US12481517B1</w:t>
            </w:r>
          </w:p>
        </w:tc>
        <w:tc>
          <w:tcPr/>
          <w:p>
            <w:pPr>
              <w:pStyle w:val="Compact"/>
              <w:jc w:val="left"/>
            </w:pPr>
            <w:r>
              <w:t>AI Agent 调度、资源扩缩容；2025-11-25 授权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本申请不以资源编排本身为创新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US12307349B2</w:t>
            </w:r>
          </w:p>
        </w:tc>
        <w:tc>
          <w:tcPr/>
          <w:p>
            <w:pPr>
              <w:pStyle w:val="Compact"/>
              <w:jc w:val="left"/>
            </w:pPr>
            <w:r>
              <w:t>LLM驱动任务专用代理，权利要求1限定金融工具数据及对抗式纠正；2025-05-20授权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编排与结果修正相关，但不能省略其领域及模型限定来断言抵触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US12411758B1</w:t>
            </w:r>
          </w:p>
        </w:tc>
        <w:tc>
          <w:tcPr/>
          <w:p>
            <w:pPr>
              <w:pStyle w:val="Compact"/>
              <w:jc w:val="left"/>
            </w:pPr>
            <w:r>
              <w:t>自主测试、通用验证规则与脚本区分；2025-09-09授权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不等同于本案外部独立检查器，仍需比较验收链路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US20260211802A1</w:t>
            </w:r>
          </w:p>
        </w:tc>
        <w:tc>
          <w:tcPr/>
          <w:p>
            <w:pPr>
              <w:pStyle w:val="Compact"/>
              <w:jc w:val="left"/>
            </w:pPr>
            <w:r>
              <w:t>数字模型平台上的脚本及测试生成；2026-07-23公开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本案没有其工具互操作和脚本代理微调限定；技术背景相关</w:t>
            </w:r>
          </w:p>
        </w:tc>
      </w:tr>
    </w:tbl>
    <w:p>
      <w:pPr>
        <w:pStyle w:val="BodyText"/>
      </w:pPr>
      <w:r>
        <w:t>核查：</w:t>
      </w:r>
      <w:hyperlink r:id="rId16">
        <w:r>
          <w:rPr>
            <w:rStyle w:val="Hyperlink"/>
          </w:rPr>
          <w:t>US20250356313A1 文献页</w:t>
        </w:r>
      </w:hyperlink>
      <w:r>
        <w:t xml:space="preserve"> ；</w:t>
      </w:r>
      <w:hyperlink r:id="rId14">
        <w:r>
          <w:rPr>
            <w:rStyle w:val="Hyperlink"/>
          </w:rPr>
          <w:t>US20260127463A1 文献页</w:t>
        </w:r>
      </w:hyperlink>
      <w:r>
        <w:t xml:space="preserve"> ；</w:t>
      </w:r>
      <w:hyperlink r:id="rId22">
        <w:r>
          <w:rPr>
            <w:rStyle w:val="Hyperlink"/>
          </w:rPr>
          <w:t>US12481517B1 文献页</w:t>
        </w:r>
      </w:hyperlink>
      <w:r>
        <w:t xml:space="preserve"> ；</w:t>
      </w:r>
      <w:hyperlink r:id="rId23">
        <w:r>
          <w:rPr>
            <w:rStyle w:val="Hyperlink"/>
          </w:rPr>
          <w:t>US12307349B2 文献页</w:t>
        </w:r>
      </w:hyperlink>
      <w:r>
        <w:t xml:space="preserve"> ；</w:t>
      </w:r>
      <w:hyperlink r:id="rId20">
        <w:r>
          <w:rPr>
            <w:rStyle w:val="Hyperlink"/>
          </w:rPr>
          <w:t>US12411758B1 文献页</w:t>
        </w:r>
      </w:hyperlink>
      <w:r>
        <w:t xml:space="preserve"> ；</w:t>
      </w:r>
      <w:hyperlink r:id="rId21">
        <w:r>
          <w:rPr>
            <w:rStyle w:val="Hyperlink"/>
          </w:rPr>
          <w:t>US20260211802A1 文献页</w:t>
        </w:r>
      </w:hyperlink>
      <w:r>
        <w:t xml:space="preserve"> 。</w:t>
      </w:r>
    </w:p>
    <w:p>
      <w:pPr>
        <w:pStyle w:val="Heading2"/>
      </w:pPr>
      <w:r>
        <w:t>EPO 检索结果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公开号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公开日期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相关内容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技术接近风险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EP4742096A1</w:t>
            </w:r>
          </w:p>
        </w:tc>
        <w:tc>
          <w:tcPr/>
          <w:p>
            <w:pPr>
              <w:pStyle w:val="Compact"/>
              <w:jc w:val="left"/>
            </w:pPr>
            <w:r>
              <w:t>2026-05-13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与US20260127463A1同族；模型驱动工作流重编排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高；不得按同族重复计独立公开</w:t>
            </w:r>
          </w:p>
        </w:tc>
      </w:tr>
    </w:tbl>
    <w:p>
      <w:pPr>
        <w:pStyle w:val="BodyText"/>
      </w:pPr>
      <w:r>
        <w:t>核查：</w:t>
      </w:r>
      <w:hyperlink r:id="rId15">
        <w:r>
          <w:rPr>
            <w:rStyle w:val="Hyperlink"/>
          </w:rPr>
          <w:t>EP4742096A1 文献页</w:t>
        </w:r>
      </w:hyperlink>
      <w:r>
        <w:t xml:space="preserve"> 。本节不表示没有其他相关欧洲公开。</w:t>
      </w:r>
    </w:p>
    <w:p>
      <w:pPr>
        <w:pStyle w:val="Heading2"/>
      </w:pPr>
      <w:r>
        <w:t>CNIPA 检索结果</w:t>
      </w:r>
    </w:p>
    <w:p>
      <w:pPr>
        <w:pStyle w:val="FirstParagraph"/>
      </w:pPr>
      <w:r>
        <w:t>以下为中国公开专利文献，借助 Google Patents 核查，不代表官方 CNIPA 全量检索。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公开号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公开日期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定位及核查特征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技术接近风险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CN120560815A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2025-08-29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权利要求1，LLM任务拆解、DAG并发与缓存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高，对宽泛编排主题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CN121212278A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2025-12-26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权利要求1、6—8，事件监控、异常诊断及局部重规划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高，对自动恢复主题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CN118819778A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2024-10-22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权利要求1，子任务转换为执行对象并构建DAG执行器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高，对DAG执行主题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CN121523815A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2026-02-13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权利要求1，依赖图、双层图注意力调度、模型冲突消解和结果融合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中，对本案宿主完成控制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CN120973500A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2025-11-18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权利要求1、6，外部状态驱动工具循环、终止条件及可审计归档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高，对持久代理循环主题</w:t>
            </w:r>
          </w:p>
        </w:tc>
      </w:tr>
    </w:tbl>
    <w:p>
      <w:pPr>
        <w:pStyle w:val="BodyText"/>
      </w:pPr>
      <w:r>
        <w:t>核查：</w:t>
      </w:r>
      <w:hyperlink r:id="rId13">
        <w:r>
          <w:rPr>
            <w:rStyle w:val="Hyperlink"/>
          </w:rPr>
          <w:t>CN120560815A 文献页</w:t>
        </w:r>
      </w:hyperlink>
      <w:r>
        <w:t xml:space="preserve"> ；</w:t>
      </w:r>
      <w:hyperlink r:id="rId24">
        <w:r>
          <w:rPr>
            <w:rStyle w:val="Hyperlink"/>
          </w:rPr>
          <w:t>CN121212278A 文献页</w:t>
        </w:r>
      </w:hyperlink>
      <w:r>
        <w:t xml:space="preserve"> ；</w:t>
      </w:r>
      <w:hyperlink r:id="rId25">
        <w:r>
          <w:rPr>
            <w:rStyle w:val="Hyperlink"/>
          </w:rPr>
          <w:t>CN118819778A 文献页</w:t>
        </w:r>
      </w:hyperlink>
      <w:r>
        <w:t xml:space="preserve"> ；</w:t>
      </w:r>
      <w:hyperlink r:id="rId26">
        <w:r>
          <w:rPr>
            <w:rStyle w:val="Hyperlink"/>
          </w:rPr>
          <w:t>CN121523815A 文献页</w:t>
        </w:r>
      </w:hyperlink>
      <w:r>
        <w:t xml:space="preserve"> ；</w:t>
      </w:r>
      <w:hyperlink r:id="rId27">
        <w:r>
          <w:rPr>
            <w:rStyle w:val="Hyperlink"/>
          </w:rPr>
          <w:t>CN120973500A 文献页</w:t>
        </w:r>
      </w:hyperlink>
      <w:r>
        <w:t xml:space="preserve"> 。CN120973500A 的后续授权文献为 CN120973500B（2025-12-23）；法律状态和有效权利要求仍须通过官方档案复核。</w:t>
      </w:r>
    </w:p>
    <w:p>
      <w:pPr>
        <w:pStyle w:val="BodyText"/>
      </w:pPr>
      <w:r>
        <w:rPr>
          <w:b/>
        </w:rPr>
        <w:t>同族更正：</w:t>
      </w:r>
      <w:r>
        <w:t xml:space="preserve"> WO2025076107A1 与 US12307349B2 属 Google Patents 所列相关家族，但家族相关不表示权利要求完全相同。US12307349B2 权利要求1含金融数据限定，不能直接外推到所有同族案。核查：</w:t>
      </w:r>
      <w:hyperlink r:id="rId23">
        <w:r>
          <w:rPr>
            <w:rStyle w:val="Hyperlink"/>
          </w:rPr>
          <w:t>US12307349B2 文献页</w:t>
        </w:r>
      </w:hyperlink>
      <w:r>
        <w:t xml:space="preserve"> 。</w:t>
      </w:r>
    </w:p>
    <w:p>
      <w:pPr>
        <w:pStyle w:val="Heading1"/>
      </w:pPr>
      <w:r>
        <w:t>新颖性分析 / Novelty Analysis</w:t>
      </w:r>
    </w:p>
    <w:p>
      <w:pPr>
        <w:pStyle w:val="Heading2"/>
      </w:pPr>
      <w:r>
        <w:t>候选特征 A：提议散列绑定与副作用前再核验</w:t>
      </w:r>
    </w:p>
    <w:p>
      <w:pPr>
        <w:pStyle w:val="FirstParagraph"/>
      </w:pPr>
      <w:r>
        <w:t>已知：模型工具调用、权限管理和持久记录。候选限定：宿主同时绑定 run/task/fence/contract/recipe/payload，先记录准入，再在副作用边界以当前租约重检。新颖性判断：</w:t>
      </w:r>
      <w:r>
        <w:rPr>
          <w:b/>
        </w:rPr>
        <w:t>未确认</w:t>
      </w:r>
      <w:r>
        <w:t>，需补查授权提议及能力票据有关专利；创造性风险为中高。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检索结果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是否公开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分析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模型工具调用及权限管理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已知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基础构件不支持单独新颖性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当前租约与提议再次核验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未确认完整公开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需补授权票据及能力管理检索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完整A+C+E组合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未确认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按单件全文判断新颖性</w:t>
            </w:r>
          </w:p>
        </w:tc>
      </w:tr>
    </w:tbl>
    <w:p>
      <w:pPr>
        <w:pStyle w:val="Heading2"/>
      </w:pPr>
      <w:r>
        <w:t>候选特征 B：原子裂变与父规格冻结</w:t>
      </w:r>
    </w:p>
    <w:p>
      <w:pPr>
        <w:pStyle w:val="FirstParagraph"/>
      </w:pPr>
      <w:r>
        <w:t>已知：DAG、动态重规划、分布式租约、幂等事务。候选限定：父规格不改写、request_key+hash 重放检查与父租约/作用域在同一事务内验证。创造性风险：</w:t>
      </w:r>
      <w:r>
        <w:rPr>
          <w:b/>
        </w:rPr>
        <w:t>高</w:t>
      </w:r>
      <w:r>
        <w:t>，适合作为系统组合中的从属细化。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检索结果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是否公开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分析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DAG与动态编排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已公开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CN120560815A等形成接近风险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幂等事务与代际租约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已知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属于成熟工程机制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冻结父规格与同事务准入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需逐要件核查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创造性风险高；作为从属限定</w:t>
            </w:r>
          </w:p>
        </w:tc>
      </w:tr>
    </w:tbl>
    <w:p>
      <w:pPr>
        <w:pStyle w:val="Heading2"/>
      </w:pPr>
      <w:r>
        <w:t>候选特征 C：幂等 ensure/inspect 与未知作业阻断</w:t>
      </w:r>
    </w:p>
    <w:p>
      <w:pPr>
        <w:pStyle w:val="FirstParagraph"/>
      </w:pPr>
      <w:r>
        <w:t>已知：副作用意图/结果日志、幂等键、未知结果先查（特别是 Temporal 2026-10-08 公开）。候选限定：本地 research_jobs 双重身份绑定；适配器 idempotentEnsure；未知 job_id 用 ensure、已知用 inspect；未终结作业阻断目标 PASS。初评：</w:t>
      </w:r>
      <w:r>
        <w:rPr>
          <w:b/>
        </w:rPr>
        <w:t>高度接近现有技术，单独授权风险高</w:t>
      </w:r>
      <w:r>
        <w:t>，应放进 A+E 跨层链路。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检索结果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是否公开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分析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意图先记与UNKNOWN处理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高度接近公开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Temporal Pi：2026-10-08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幂等键与远端动作摘要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已知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需区分内容寻址与物理去重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>ensure/inspect与目标门控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完整组合未确认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单独授权风险高；依赖适配器履约</w:t>
            </w:r>
          </w:p>
        </w:tc>
      </w:tr>
    </w:tbl>
    <w:p>
      <w:pPr>
        <w:pStyle w:val="Heading2"/>
      </w:pPr>
      <w:r>
        <w:t>候选特征 D：服务池 epoch 熔断与槽位释放</w:t>
      </w:r>
    </w:p>
    <w:p>
      <w:pPr>
        <w:pStyle w:val="FirstParagraph"/>
      </w:pPr>
      <w:r>
        <w:t>已知：熔断、退避、半开探测及代际。候选限定：quota_pool 共享 epoch、防迟到成功清除新故障、等待释放工作槽。初评：独立创造性风险</w:t>
      </w:r>
      <w:r>
        <w:rPr>
          <w:b/>
        </w:rPr>
        <w:t>高</w:t>
      </w:r>
      <w:r>
        <w:t>；从属备选。</w:t>
      </w:r>
    </w:p>
    <w:p>
      <w:pPr>
        <w:pStyle w:val="Heading2"/>
      </w:pPr>
      <w:r>
        <w:t>候选特征 E：外部作业、冲突与集成的联合验收</w:t>
      </w:r>
    </w:p>
    <w:p>
      <w:pPr>
        <w:pStyle w:val="FirstParagraph"/>
      </w:pPr>
      <w:r>
        <w:t>已知：机器测试、CI门控、结果聚合及自治测试规则。US12411758B1没有直接建立执行者之外的独立检查器，不据此单件否定本案独立检查要件。候选限定：授权绑定和远端作业身份维持同一目标关联；在集成前后核查任务接受证据、证据冲突、失效主张及当前和历史修订运行中的未决作业，持久保存完成记录。初评：仍有较具体的组合论证空间，但尚未检索充分到可以作出新颖/非显而易见结论。</w:t>
      </w:r>
    </w:p>
    <w:p>
      <w:pPr>
        <w:pStyle w:val="Heading2"/>
      </w:pPr>
      <w:r>
        <w:t>候选特征 F：证据语义与层次布局隔离</w:t>
      </w:r>
    </w:p>
    <w:p>
      <w:pPr>
        <w:pStyle w:val="FirstParagraph"/>
      </w:pPr>
      <w:r>
        <w:t>已知：内容寻址、哈希树、增量验证。候选限定：稳定检查身份、布局代际隔离及 completion hyperedge 验证样本上的布局选择。当前检索不足以给出可靠的新颖性结论；若另案申请应补充数学规范与独立对照实验。</w:t>
      </w:r>
    </w:p>
    <w:p>
      <w:pPr>
        <w:pStyle w:val="Heading1"/>
      </w:pPr>
      <w:r>
        <w:t>可专利性评估 / Patentability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标准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理由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新颖性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未确认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多项要件已公开；按权利要求1核对单件全文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创造性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高风险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Temporal Pi与编排专利缩小独立差异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充分公开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已补实施细节，仍需定稿核验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字段、接口及失败分支已写明；远端履约是前提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工业实用性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有实现基础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代码及103项受控测试支持实施；不证明性能优势</w:t>
            </w:r>
          </w:p>
        </w:tc>
      </w:tr>
    </w:tbl>
    <w:p>
      <w:pPr>
        <w:pStyle w:val="BodyText"/>
      </w:pPr>
      <w:r>
        <w:rPr>
          <w:b/>
        </w:rPr>
        <w:t>单一性：</w:t>
      </w:r>
      <w:r>
        <w:t xml:space="preserve"> 权利要求集中于外部作业协调及完成控制；B/D支持主流程，F不列入本案权利要求。</w:t>
      </w:r>
    </w:p>
    <w:p>
      <w:pPr>
        <w:pStyle w:val="BodyText"/>
      </w:pPr>
      <w:r>
        <w:rPr>
          <w:b/>
        </w:rPr>
        <w:t>技术方案及创造性评价：</w:t>
      </w:r>
      <w:r>
        <w:t xml:space="preserve"> 面向数据库、远端计算和工件检查的计算机执行问题，按2026年生效指南整体评价相互作用及效果，不以组件数量证明创造性。</w:t>
      </w:r>
    </w:p>
    <w:p>
      <w:pPr>
        <w:pStyle w:val="BodyText"/>
      </w:pPr>
      <w:r>
        <w:rPr>
          <w:b/>
        </w:rPr>
        <w:t>权利归属：</w:t>
      </w:r>
      <w:r>
        <w:t xml:space="preserve"> 发明人为许达、王飞，所属单位中国移动研究院；按院职务发明流程核定正式申请主体及共同申请安排。</w:t>
      </w:r>
    </w:p>
    <w:p>
      <w:pPr>
        <w:pStyle w:val="BodyText"/>
      </w:pPr>
      <w:r>
        <w:rPr>
          <w:b/>
        </w:rPr>
        <w:t>公开时点：</w:t>
      </w:r>
      <w:r>
        <w:t xml:space="preserve"> 仓库可公开访问且旧文稿有历史提交；应逐要件核查首次公众可获取时间和有效申请日。</w:t>
      </w:r>
    </w:p>
    <w:p>
      <w:pPr>
        <w:pStyle w:val="BodyText"/>
      </w:pPr>
      <w:r>
        <w:rPr>
          <w:b/>
        </w:rPr>
        <w:t>效果证据：</w:t>
      </w:r>
      <w:r>
        <w:t xml:space="preserve"> 103项测试属于所列基线的宿主及受控适配器核验；没有真实远端或跨平台生产力比较，不推导固定加速倍数或无条件恰好一次。</w:t>
      </w:r>
    </w:p>
    <w:p>
      <w:pPr>
        <w:pStyle w:val="BodyText"/>
      </w:pPr>
      <w:r>
        <w:rPr>
          <w:b/>
        </w:rPr>
        <w:t>中国申请要求与公开时间风险：</w:t>
      </w:r>
    </w:p>
    <w:p>
      <w:pPr>
        <w:pStyle w:val="BodyText"/>
      </w:pPr>
      <w:r>
        <w:t>依据《中华人民共和国专利法》第二十二条，新颖性与创造性以本案有效申请时间及具体公开内容判断；第二十六条要求说明书充分公开、权利要求有依据。2026-01-01 生效的《专利审查指南》修改要求整体评价技术方案，并考虑与技术特征存在相互作用的算法特征。本案论证应落在持久状态、调用时序和计算资源重复消耗，不能只写“智能”“自恢复”或管理效率。</w:t>
      </w:r>
    </w:p>
    <w:p>
      <w:pPr>
        <w:pStyle w:val="BodyText"/>
      </w:pPr>
      <w:r>
        <w:t>中国专利法第二十四条的六个月例外有特定适用情形，普通自愿上传 GitHub 并不自动获得通用宽限期。未核定本案申请日以前，不应断言某篇2026年资料已经构成可适用现有技术；同样，不能因尚未检索到完整组合就认定可授权。</w:t>
      </w:r>
    </w:p>
    <w:p>
      <w:pPr>
        <w:pStyle w:val="BodyText"/>
      </w:pPr>
      <w:r>
        <w:t>已核查的 Git 记录中，</w:t>
      </w:r>
      <w:r>
        <w:rPr>
          <w:rStyle w:val="VerbatimChar"/>
        </w:rPr>
        <w:t>cadc093b7819d30ba42118ce9fc48a4bb5dd13c9</w:t>
      </w:r>
      <w:r>
        <w:t xml:space="preserve"> 于2026-10-08 12:50:15 +08:00加入旧发布专利文档；</w:t>
      </w:r>
      <w:r>
        <w:rPr>
          <w:rStyle w:val="VerbatimChar"/>
        </w:rPr>
        <w:t>44a5aad63b85a52c8a99ef56d765fd775c49eafd</w:t>
      </w:r>
      <w:r>
        <w:t xml:space="preserve"> 于2026-10-09 13:09:59 +08:00加入当前目录交底书；上一轮修订记录为2026-10-10。上述为仓库提交时间，不能证明对应字节在该时刻已向公众开放，也不是最早技术公开或专利优先权的认定。应进一步收集推送、合并、仓库可见性记录及更早代码公开，并逐要件映射。</w:t>
      </w:r>
    </w:p>
    <w:p>
      <w:pPr>
        <w:pStyle w:val="BodyText"/>
      </w:pPr>
      <w:r>
        <w:t>法律及审查依据：</w:t>
      </w:r>
    </w:p>
    <w:p>
      <w:pPr>
        <w:pStyle w:val="BodyText"/>
      </w:pPr>
      <w:hyperlink r:id="rId28">
        <w:r>
          <w:rPr>
            <w:rStyle w:val="Hyperlink"/>
          </w:rPr>
          <w:t>CNIPA 专利法</w:t>
        </w:r>
      </w:hyperlink>
    </w:p>
    <w:p>
      <w:pPr>
        <w:pStyle w:val="BodyText"/>
      </w:pPr>
      <w:hyperlink r:id="rId29">
        <w:r>
          <w:rPr>
            <w:rStyle w:val="Hyperlink"/>
          </w:rPr>
          <w:t>CNIPA 审查指南修改决定</w:t>
        </w:r>
      </w:hyperlink>
    </w:p>
    <w:p>
      <w:pPr>
        <w:pStyle w:val="BodyText"/>
      </w:pPr>
      <w:r>
        <w:t>历史提交：</w:t>
      </w:r>
    </w:p>
    <w:p>
      <w:pPr>
        <w:pStyle w:val="BodyText"/>
      </w:pPr>
      <w:hyperlink r:id="rId30">
        <w:r>
          <w:rPr>
            <w:rStyle w:val="Hyperlink"/>
          </w:rPr>
          <w:t>历史提交 cadc093b7819</w:t>
        </w:r>
      </w:hyperlink>
    </w:p>
    <w:p>
      <w:pPr>
        <w:pStyle w:val="BodyText"/>
      </w:pPr>
      <w:hyperlink r:id="rId31">
        <w:r>
          <w:rPr>
            <w:rStyle w:val="Hyperlink"/>
          </w:rPr>
          <w:t>历史提交 44a5aad63b85</w:t>
        </w:r>
      </w:hyperlink>
    </w:p>
    <w:p>
      <w:pPr>
        <w:pStyle w:val="Heading1"/>
      </w:pPr>
      <w:r>
        <w:t>权利要求差异化矩阵 / Claim Differentiation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本方案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最接近现有技术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待论证区别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冻结验收契约</w:t>
            </w:r>
          </w:p>
        </w:tc>
        <w:tc>
          <w:tcPr/>
          <w:p>
            <w:pPr>
              <w:pStyle w:val="Compact"/>
              <w:jc w:val="left"/>
            </w:pPr>
            <w:r>
              <w:t>目标与契约/配置摘要关联</w:t>
            </w:r>
          </w:p>
        </w:tc>
        <w:tc>
          <w:tcPr/>
          <w:p>
            <w:pPr>
              <w:pStyle w:val="Compact"/>
              <w:jc w:val="left"/>
            </w:pPr>
            <w:r>
              <w:t>Temporal、LangGraph及CI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提议与副作用全过程绑定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结构化提议</w:t>
            </w:r>
          </w:p>
        </w:tc>
        <w:tc>
          <w:tcPr/>
          <w:p>
            <w:pPr>
              <w:pStyle w:val="Compact"/>
              <w:jc w:val="left"/>
            </w:pPr>
            <w:r>
              <w:t>准入和副作用前双校验</w:t>
            </w:r>
          </w:p>
        </w:tc>
        <w:tc>
          <w:tcPr/>
          <w:p>
            <w:pPr>
              <w:pStyle w:val="Compact"/>
              <w:jc w:val="left"/>
            </w:pPr>
            <w:r>
              <w:t>多智能体与权限控制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提议散列及当前fence共同核验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远端作业</w:t>
            </w:r>
          </w:p>
        </w:tc>
        <w:tc>
          <w:tcPr/>
          <w:p>
            <w:pPr>
              <w:pStyle w:val="Compact"/>
              <w:jc w:val="left"/>
            </w:pPr>
            <w:r>
              <w:t>稳定key；ensure/inspect</w:t>
            </w:r>
          </w:p>
        </w:tc>
        <w:tc>
          <w:tcPr/>
          <w:p>
            <w:pPr>
              <w:pStyle w:val="Compact"/>
              <w:jc w:val="left"/>
            </w:pPr>
            <w:r>
              <w:t>Temporal Pi、Bazel及幂等调用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身份不漂移与未知状态协调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未决结果</w:t>
            </w:r>
          </w:p>
        </w:tc>
        <w:tc>
          <w:tcPr/>
          <w:p>
            <w:pPr>
              <w:pStyle w:val="Compact"/>
              <w:jc w:val="left"/>
            </w:pPr>
            <w:r>
              <w:t>当前及历史修订作业门控</w:t>
            </w:r>
          </w:p>
        </w:tc>
        <w:tc>
          <w:tcPr/>
          <w:p>
            <w:pPr>
              <w:pStyle w:val="Compact"/>
              <w:jc w:val="left"/>
            </w:pPr>
            <w:r>
              <w:t>测试门控及持久工作流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作业、冲突及失效主张联合阻断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集成验收</w:t>
            </w:r>
          </w:p>
        </w:tc>
        <w:tc>
          <w:tcPr/>
          <w:p>
            <w:pPr>
              <w:pStyle w:val="Compact"/>
              <w:jc w:val="left"/>
            </w:pPr>
            <w:r>
              <w:t>集成前后重查，缓存仍核验</w:t>
            </w:r>
          </w:p>
        </w:tc>
        <w:tc>
          <w:tcPr/>
          <w:p>
            <w:pPr>
              <w:pStyle w:val="Compact"/>
              <w:jc w:val="left"/>
            </w:pPr>
            <w:r>
              <w:t>CI及AI脚本/测试生成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合并树与接受证据共同核验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从属B/D</w:t>
            </w:r>
          </w:p>
        </w:tc>
        <w:tc>
          <w:tcPr/>
          <w:p>
            <w:pPr>
              <w:pStyle w:val="Compact"/>
              <w:jc w:val="left"/>
            </w:pPr>
            <w:r>
              <w:t>原子裂变及服务池代际恢复</w:t>
            </w:r>
          </w:p>
        </w:tc>
        <w:tc>
          <w:tcPr/>
          <w:p>
            <w:pPr>
              <w:pStyle w:val="Compact"/>
              <w:jc w:val="left"/>
            </w:pPr>
            <w:r>
              <w:t>动态编排及熔断器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父规格冻结；旧成功不能清除新故障</w:t>
            </w:r>
          </w:p>
        </w:tc>
      </w:tr>
    </w:tbl>
    <w:p>
      <w:pPr>
        <w:pStyle w:val="BodyText"/>
      </w:pPr>
      <w:r>
        <w:t>代码参照依次为：</w:t>
      </w:r>
      <w:r>
        <w:rPr>
          <w:rStyle w:val="VerbatimChar"/>
        </w:rPr>
        <w:t>src/harness/foundry/store.ts</w:t>
      </w:r>
      <w:r>
        <w:t>；</w:t>
      </w:r>
      <w:r>
        <w:rPr>
          <w:rStyle w:val="VerbatimChar"/>
        </w:rPr>
        <w:t>proposals.ts</w:t>
      </w:r>
      <w:r>
        <w:t>；</w:t>
      </w:r>
      <w:r>
        <w:rPr>
          <w:rStyle w:val="VerbatimChar"/>
        </w:rPr>
        <w:t>swarm/jobs.ts</w:t>
      </w:r>
      <w:r>
        <w:t>；</w:t>
      </w:r>
      <w:r>
        <w:rPr>
          <w:rStyle w:val="VerbatimChar"/>
        </w:rPr>
        <w:t>swarm/supervisor.ts</w:t>
      </w:r>
      <w:r>
        <w:t>；</w:t>
      </w:r>
      <w:r>
        <w:rPr>
          <w:rStyle w:val="VerbatimChar"/>
        </w:rPr>
        <w:t>swarm/host.ts</w:t>
      </w:r>
      <w:r>
        <w:t>；从属B/D为</w:t>
      </w:r>
      <w:r>
        <w:rPr>
          <w:rStyle w:val="VerbatimChar"/>
        </w:rPr>
        <w:t>dynamicDag.ts</w:t>
      </w:r>
      <w:r>
        <w:t>及</w:t>
      </w:r>
      <w:r>
        <w:rPr>
          <w:rStyle w:val="VerbatimChar"/>
        </w:rPr>
        <w:t>swarm/providerRecovery.ts</w:t>
      </w:r>
      <w:r>
        <w:t>。后六个路径均相对</w:t>
      </w:r>
      <w:r>
        <w:rPr>
          <w:rStyle w:val="VerbatimChar"/>
        </w:rPr>
        <w:t>src/harness/foundry/</w:t>
      </w:r>
      <w:r>
        <w:t>。</w:t>
      </w:r>
    </w:p>
    <w:p>
      <w:pPr>
        <w:pStyle w:val="Heading1"/>
      </w:pPr>
      <w:r>
        <w:t>关键区别特征 / Key Distinguishing Features</w:t>
      </w:r>
    </w:p>
    <w:p>
      <w:pPr>
        <w:pStyle w:val="FirstParagraph"/>
      </w:pPr>
      <w:r>
        <w:t>建议专利代理人优先论证</w:t>
      </w:r>
      <w:r>
        <w:rPr>
          <w:b/>
        </w:rPr>
        <w:t>同一目标契约下的跨故障域状态一致性</w:t>
      </w:r>
      <w:r>
        <w:t>：</w:t>
      </w:r>
    </w:p>
    <w:p>
      <w:pPr>
        <w:numPr>
          <w:ilvl w:val="0"/>
          <w:numId w:val="1001"/>
        </w:numPr>
      </w:pPr>
      <w:r>
        <w:t>模型侧结构化提议不能直接越权执行；执行侧在副作用边界重验 lease</w:t>
      </w:r>
    </w:p>
    <w:p>
      <w:pPr>
        <w:numPr>
          <w:ilvl w:val="0"/>
          <w:numId w:val="1001"/>
        </w:numPr>
      </w:pPr>
      <w:r>
        <w:t>远端作业在 intent 写入后以原 stable key 经 idempotent ensure/inspect 查询或接续</w:t>
      </w:r>
    </w:p>
    <w:p>
      <w:pPr>
        <w:numPr>
          <w:ilvl w:val="0"/>
          <w:numId w:val="1001"/>
        </w:numPr>
      </w:pPr>
      <w:r>
        <w:t>结果不确定时保持目标 BLOCKED；任务侧接收可信 evidence 并在合并树重新验证后发布 COMPLETE</w:t>
      </w:r>
    </w:p>
    <w:p>
      <w:pPr>
        <w:numPr>
          <w:ilvl w:val="0"/>
          <w:numId w:val="1001"/>
        </w:numPr>
      </w:pPr>
      <w:r>
        <w:t>租约不能判定远端结果；远端终态不能替代工件接受证据；局部通过不能替代组合树检查；新运行不能清除旧作业</w:t>
      </w:r>
    </w:p>
    <w:p>
      <w:pPr>
        <w:pStyle w:val="BodyText"/>
      </w:pPr>
      <w:r>
        <w:t>这为整体技术效果提供可检验的论证对象，但仍需查明现有技术是否已有组合启示。不能以增加门控数量或限定更多字段直接证明创造性。</w:t>
      </w:r>
    </w:p>
    <w:p>
      <w:pPr>
        <w:pStyle w:val="Heading1"/>
      </w:pPr>
      <w:r>
        <w:t>建议申请策略 / Recommended Filing Strategy</w:t>
      </w:r>
    </w:p>
    <w:p>
      <w:pPr>
        <w:numPr>
          <w:ilvl w:val="0"/>
          <w:numId w:val="1010"/>
        </w:numPr>
      </w:pPr>
      <w:r>
        <w:t>由院知识产权管理部门按职务发明流程核定正式申请主体、申请日及共同申请安排；发明人按许达、王飞列示，所属单位为中国移动研究院。个人联系方式仅在内部申报材料填写。</w:t>
      </w:r>
    </w:p>
    <w:p>
      <w:pPr>
        <w:numPr>
          <w:ilvl w:val="0"/>
          <w:numId w:val="1010"/>
        </w:numPr>
      </w:pPr>
      <w:r>
        <w:t xml:space="preserve">核查 public GitHub 中最早向公众披露 A/C/E 核心组合的日期。原 </w:t>
      </w:r>
      <w:r>
        <w:rPr>
          <w:rStyle w:val="VerbatimChar"/>
        </w:rPr>
        <w:t>docs/release/FUTURE_CODE_PATENT_CN.md</w:t>
      </w:r>
      <w:r>
        <w:t xml:space="preserve"> 与专利目录原稿可能已披露部分内容；提交时间及公有仓库现状不足以确定当时可获取性。依中国申请规则核查是否已有在先申请及特定例外；不能默认普通GitHub公开适用六个月宽限。</w:t>
      </w:r>
    </w:p>
    <w:p>
      <w:pPr>
        <w:numPr>
          <w:ilvl w:val="0"/>
          <w:numId w:val="1010"/>
        </w:numPr>
      </w:pPr>
      <w:r>
        <w:t>由代理人开展 USPTO/EPO/CNIPA/WIPO 正式检索，至少对照 CN120560815A、US20250356313A1、US20260127463A1、US12411758B1、CN120973500A 及 2026-10-08 Temporal Pi 公开，并核对适用公开日。逐项标注 X（单件高度抵触）、Y（结合抵触）、A（背景技术）风险，但本报告不擅自下最终检索类别结论。</w:t>
      </w:r>
    </w:p>
    <w:p>
      <w:pPr>
        <w:numPr>
          <w:ilvl w:val="0"/>
          <w:numId w:val="1010"/>
        </w:numPr>
      </w:pPr>
      <w:r>
        <w:t>已有103项相关测试通过；继续由研发方在真实适配器上保存四类最小故障复现：提议载荷漂移/旧 fence 被拒；远端 UNKNOWN 经相同 key 的重复 ensure 仅有一份作业；adapter 丢失幂等保证时拒绝自动重发；局部 PASS 但强冲突/未决作业/合并检查失败时不能 COMPLETE。记录 commit、配置、环境和结果哈希。</w:t>
      </w:r>
    </w:p>
    <w:p>
      <w:pPr>
        <w:numPr>
          <w:ilvl w:val="0"/>
          <w:numId w:val="1010"/>
        </w:numPr>
      </w:pPr>
      <w:r>
        <w:t>如果代理人认为总体组合缺乏单一性或创造性，优先探索窄 A+C+E 案；B/D 作为附加特征；HACT需专项检索后决定另案布局；本次已从拟议权利要求移出，不以分案替代原申请充分公开要求。不得把“无法停止”“绝对恰好一次”“比 Claude/Codex 快若干倍”等未经实测的效果写入权利要求。</w:t>
      </w:r>
    </w:p>
    <w:p>
      <w:pPr>
        <w:pStyle w:val="Heading1"/>
      </w:pPr>
      <w:r>
        <w:t>结论 / Conclusion</w:t>
      </w:r>
    </w:p>
    <w:p>
      <w:pPr>
        <w:pStyle w:val="FirstParagraph"/>
      </w:pPr>
      <w:r>
        <w:t>本次修订将申请主题集中于“授权绑定—稳定外部作业协调—目标完成再检查”的具体计算机执行流程，发明人列为许达、王飞，所属单位为中国移动研究院。与泛化的多智能体编排相比，潜在区别在于同一目标关联记录对跨故障域状态的约束：</w:t>
      </w:r>
    </w:p>
    <w:p>
      <w:pPr>
        <w:numPr>
          <w:ilvl w:val="0"/>
          <w:numId w:val="1001"/>
        </w:numPr>
      </w:pPr>
      <w:r>
        <w:t>Temporal Pi 对意图先行、未知结果和迟到写入已有接近公开；多件中国和美国文献公开编排、持久循环及自动测试</w:t>
      </w:r>
    </w:p>
    <w:p>
      <w:pPr>
        <w:numPr>
          <w:ilvl w:val="0"/>
          <w:numId w:val="1001"/>
        </w:numPr>
      </w:pPr>
      <w:r>
        <w:t>US12411758B1 的通用验证规则不等同于本案外部独立检查器；US12307349B2 和 US20260211802A1 的特定领域和平台限定已补回，避免过度概括</w:t>
      </w:r>
    </w:p>
    <w:p>
      <w:pPr>
        <w:numPr>
          <w:ilvl w:val="0"/>
          <w:numId w:val="1001"/>
        </w:numPr>
      </w:pPr>
      <w:r>
        <w:t>当前检索没有形成可确认新颖性或创造性的完整证据链，亦未开展自由实施分析</w:t>
      </w:r>
    </w:p>
    <w:p>
      <w:pPr>
        <w:numPr>
          <w:ilvl w:val="0"/>
          <w:numId w:val="1001"/>
        </w:numPr>
      </w:pPr>
      <w:r>
        <w:t>可实施性已由代码、明确接口契约及103项受控测试增强，授权判断仍需结合正式申请日、全文检索和院内申请权核定</w:t>
      </w:r>
    </w:p>
    <w:p>
      <w:pPr>
        <w:pStyle w:val="BodyText"/>
      </w:pPr>
      <w:r>
        <w:t>报告准备日期：2026-10-13。供中国移动研究院研发及知识产权管理流程使用；属于初步技术检索分析，不是官方检索报告或正式法律意见。</w:t>
      </w:r>
    </w:p>
    <w:sectPr>
      <w:footnotePr>
        <w:numRestart w:val="eachSect"/>
      </w:footnotePr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hyperlink" Target="https://arxiv.org/abs/2308.08155" TargetMode="External"/><Relationship Id="rId9" Type="http://schemas.openxmlformats.org/officeDocument/2006/relationships/hyperlink" Target="https://docs.temporal.io/encyclopedia/event-history" TargetMode="External"/><Relationship Id="rId10" Type="http://schemas.openxmlformats.org/officeDocument/2006/relationships/hyperlink" Target="https://docs.temporal.io/evaluate/understanding-temporal" TargetMode="External"/><Relationship Id="rId11" Type="http://schemas.openxmlformats.org/officeDocument/2006/relationships/hyperlink" Target="https://docs.langchain.com/oss/python/langgraph/persistence" TargetMode="External"/><Relationship Id="rId12" Type="http://schemas.openxmlformats.org/officeDocument/2006/relationships/hyperlink" Target="https://langchain-ai.github.io/langgraph/concepts/durable_execution/" TargetMode="External"/><Relationship Id="rId13" Type="http://schemas.openxmlformats.org/officeDocument/2006/relationships/hyperlink" Target="https://patents.google.com/patent/CN120560815A/zh" TargetMode="External"/><Relationship Id="rId14" Type="http://schemas.openxmlformats.org/officeDocument/2006/relationships/hyperlink" Target="https://patents.google.com/patent/US20260127463A1/en" TargetMode="External"/><Relationship Id="rId15" Type="http://schemas.openxmlformats.org/officeDocument/2006/relationships/hyperlink" Target="https://patents.google.com/patent/EP4742096A1/en" TargetMode="External"/><Relationship Id="rId16" Type="http://schemas.openxmlformats.org/officeDocument/2006/relationships/hyperlink" Target="https://patents.google.com/patent/US20250356313A1/en" TargetMode="External"/><Relationship Id="rId17" Type="http://schemas.openxmlformats.org/officeDocument/2006/relationships/hyperlink" Target="https://github.com/bazelbuild/remote-apis/blob/main/build/bazel/remote/execution/v2/remote_execution.proto" TargetMode="External"/><Relationship Id="rId18" Type="http://schemas.openxmlformats.org/officeDocument/2006/relationships/hyperlink" Target="https://temporal.io/blog/saga-pattern-made-easy" TargetMode="External"/><Relationship Id="rId19" Type="http://schemas.openxmlformats.org/officeDocument/2006/relationships/hyperlink" Target="https://temporal.io/blog/the-immortal-life-of-pi-running-the-pi-coding-agent-on-temporal" TargetMode="External"/><Relationship Id="rId20" Type="http://schemas.openxmlformats.org/officeDocument/2006/relationships/hyperlink" Target="https://patents.google.com/patent/US12411758B1/en" TargetMode="External"/><Relationship Id="rId21" Type="http://schemas.openxmlformats.org/officeDocument/2006/relationships/hyperlink" Target="https://patents.google.com/patent/US20260211802A1/en" TargetMode="External"/><Relationship Id="rId22" Type="http://schemas.openxmlformats.org/officeDocument/2006/relationships/hyperlink" Target="https://patents.google.com/patent/US12481517B1/en" TargetMode="External"/><Relationship Id="rId23" Type="http://schemas.openxmlformats.org/officeDocument/2006/relationships/hyperlink" Target="https://patents.google.com/patent/US12307349B2/en" TargetMode="External"/><Relationship Id="rId24" Type="http://schemas.openxmlformats.org/officeDocument/2006/relationships/hyperlink" Target="https://patents.google.com/patent/CN121212278A/zh" TargetMode="External"/><Relationship Id="rId25" Type="http://schemas.openxmlformats.org/officeDocument/2006/relationships/hyperlink" Target="https://patents.google.com/patent/CN118819778A/zh" TargetMode="External"/><Relationship Id="rId26" Type="http://schemas.openxmlformats.org/officeDocument/2006/relationships/hyperlink" Target="https://patents.google.com/patent/CN121523815A/zh" TargetMode="External"/><Relationship Id="rId27" Type="http://schemas.openxmlformats.org/officeDocument/2006/relationships/hyperlink" Target="https://patents.google.com/patent/CN120973500A/zh" TargetMode="External"/><Relationship Id="rId28" Type="http://schemas.openxmlformats.org/officeDocument/2006/relationships/hyperlink" Target="https://www.cnipa.gov.cn/art/2020/11/23/art_97_155167.html" TargetMode="External"/><Relationship Id="rId29" Type="http://schemas.openxmlformats.org/officeDocument/2006/relationships/hyperlink" Target="https://www.cnipa.gov.cn/art/2025/11/13/art_74_202560.html" TargetMode="External"/><Relationship Id="rId30" Type="http://schemas.openxmlformats.org/officeDocument/2006/relationships/hyperlink" Target="https://github.com/xuda1979/future-code/commit/cadc093b7819d30ba42118ce9fc48a4bb5dd13c9" TargetMode="External"/><Relationship Id="rId31" Type="http://schemas.openxmlformats.org/officeDocument/2006/relationships/hyperlink" Target="https://github.com/xuda1979/future-code/commit/44a5aad63b85a52c8a99ef56d765fd775c49eaf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现有技术检索报告</dc:title>
  <dc:creator>许达、王飞</dc:creator>
  <cp:keywords/>
  <dcterms:created xsi:type="dcterms:W3CDTF">2026-10-13T00:00:00Z</dcterms:created>
  <dcterms:modified xsi:type="dcterms:W3CDTF">2026-10-13T00:00:00Z</dcterms:modified>
  <cp:lastModifiedBy>许达、王飞</cp:lastModifiedBy>
  <dc:subject>研发智能体外部作业协调及完成控制</dc:subject>
  <dc:description>中国移动通信有限公司研究院</dc:description>
  <cp:category/>
  <dc:identifier/>
</cp:coreProperties>
</file>