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Science and</w:t>
        <w:br/>
        <w:t>Programming Post Training</w:t>
      </w:r>
    </w:p>
    <w:p>
      <w:pPr>
        <w:pStyle w:val="Subtitle"/>
      </w:pPr>
      <w:r>
        <w:t>Research and Engineering Specification for Qwen3.6-35B-A3B</w:t>
      </w:r>
    </w:p>
    <w:p>
      <w:pPr>
        <w:pStyle w:val="Subtitle"/>
      </w:pPr>
      <w:r>
        <w:t>Version 2.0 • 22 October 2026 • Execution platform Future-Code</w:t>
      </w:r>
    </w:p>
    <w:p>
      <w:pPr>
        <w:pStyle w:val="Heading1"/>
      </w:pPr>
      <w:r>
        <w:t>1 Objective and research thesis</w:t>
      </w:r>
    </w:p>
    <w:p>
      <w:pPr/>
      <w:r>
        <w:t xml:space="preserve">Develop a quantum science and programming model by post-training a pinned revision of </w:t>
      </w:r>
      <w:r>
        <w:rPr>
          <w:rFonts w:ascii="DejaVu Sans Mono" w:hAnsi="DejaVu Sans Mono" w:eastAsia="DejaVu Sans"/>
          <w:sz w:val="17"/>
        </w:rPr>
        <w:t>Qwen/Qwen3.6-35B-A3B</w:t>
      </w:r>
      <w:r>
        <w:t>. Improve theoretical reasoning, executable quantum programs, cross-framework translation, circuit optimization, and research analysis while preserving general mathematics, programming, and tool use. The engineering sequence is trusted verification and independent evaluation, data construction, supervised fine-tuning, single-turn reinforcement learning, tool interaction, and zero-tool distillation. Progress depends on evidence gates rather than a fixed calendar.</w:t>
      </w:r>
    </w:p>
    <w:p>
      <w:pPr/>
      <w:r>
        <w:t xml:space="preserve">The proposed research thesis is that </w:t>
      </w:r>
      <w:r>
        <w:rPr>
          <w:b/>
        </w:rPr>
        <w:t>the unit of verification should be the semantic contract and the complete policy-update group</w:t>
      </w:r>
      <w:r>
        <w:t>. A verifier should establish what a program means in its intended context, and the training system should acquire additional evidence where it can change or certify the group update. Verified failure witnesses can then become reusable supervision across mathematical and programming representations.</w:t>
      </w:r>
    </w:p>
    <w:p>
      <w:pPr/>
      <w:r>
        <w:t>This thesis yields three research candidates:</w:t>
      </w:r>
    </w:p>
    <w:p>
      <w:pPr>
        <w:ind w:left="288" w:hanging="288"/>
      </w:pPr>
      <w:r>
        <w:t xml:space="preserve">1. </w:t>
      </w:r>
      <w:r>
        <w:rPr>
          <w:b/>
        </w:rPr>
        <w:t>Verification allocation for certified group updates.</w:t>
      </w:r>
      <w:r>
        <w:t xml:space="preserve"> Allocate expensive checks using a computable bound on reward-induced surrogate uncertainty and the expected increase in certified coefficient magnitude. Use conservative, sign-certified group coefficients when evidence remains incomplete.</w:t>
      </w:r>
    </w:p>
    <w:p>
      <w:pPr>
        <w:ind w:left="288" w:hanging="288"/>
      </w:pPr>
      <w:r>
        <w:t xml:space="preserve">2. </w:t>
      </w:r>
      <w:r>
        <w:rPr>
          <w:b/>
        </w:rPr>
        <w:t>Contextual semantic challenges.</w:t>
      </w:r>
      <w:r>
        <w:t xml:space="preserve"> Train and evaluate on certified pairs in which an implementation is valid under one contract but fails under a stronger composition context. Measure transfer to unseen combinations of assumptions, contexts, and SDKs.</w:t>
      </w:r>
    </w:p>
    <w:p>
      <w:pPr>
        <w:ind w:left="288" w:hanging="288"/>
      </w:pPr>
      <w:r>
        <w:t xml:space="preserve">3. </w:t>
      </w:r>
      <w:r>
        <w:rPr>
          <w:b/>
        </w:rPr>
        <w:t>Witness transfer distillation.</w:t>
      </w:r>
      <w:r>
        <w:t xml:space="preserve"> Convert verified failures into typed mathematical witnesses and independently verified repairs, then test whether supervision transfers across representations and to zero-tool inference.</w:t>
      </w:r>
    </w:p>
    <w:p>
      <w:pPr/>
      <w:r>
        <w:t>The first candidate is the recommended primary algorithmic study. The second supplies the semantic benchmark and data mechanism. The third is an extension that merits a separate contribution claim only if controlled experiments show additional value. Three-track verification, ordinary GRPO, resource rewards, asynchronous workers, and successful-trace SFT remain engineering foundations with substantial prior art.</w:t>
      </w:r>
    </w:p>
    <w:p>
      <w:pPr/>
      <w:r>
        <w:t>All three candidates are proposed methods. No model improvement, verifier speedup, publication acceptance, or scientific discovery is asserted in this specification. Analytical statements below have explicit assumptions; experimental targets are decisions to freeze before running the study. Deliverables from implementation must include loadable weights, reproducible code, data lineage, independent evaluation, cost accounts, and negative results.</w:t>
      </w:r>
    </w:p>
    <w:p>
      <w:pPr>
        <w:pStyle w:val="Heading2"/>
      </w:pPr>
      <w:r>
        <w:t>1.1 Project boundary</w:t>
      </w:r>
    </w:p>
    <w:p>
      <w:pPr/>
      <w:r>
        <w:t xml:space="preserve">Keep quantum contracts, generators, verifiers, and evaluations in </w:t>
      </w:r>
      <w:r>
        <w:rPr>
          <w:rFonts w:ascii="DejaVu Sans Mono" w:hAnsi="DejaVu Sans Mono" w:eastAsia="DejaVu Sans"/>
          <w:sz w:val="17"/>
        </w:rPr>
        <w:t>quantum-gpt</w:t>
      </w:r>
      <w:r>
        <w:t xml:space="preserve"> or a project plugin. Future-Code remains a domain-neutral R&amp;D platform responsible for dependencies, remote jobs, budgets, evidence, recovery, and scheduling. Audit and reuse existing components before implementing replacements. Retain the existing SAPO path as a comparator where it can be reproduced.</w:t>
      </w:r>
    </w:p>
    <w:p>
      <w:pPr/>
      <w:r>
        <w:t>The target model and the orchestration model are distinct: Future-Code may use external LLM APIs to manage the project, while the quantum model is the trainable artifact. Training requires an actual supported runtime and available accelerators. Historical Ascend capacity is a candidate deployment profile, not evidence of current availability. Credentials belong in secret references, outside datasets, reports, checkpoints, and source control.</w:t>
      </w:r>
    </w:p>
    <w:p>
      <w:pPr>
        <w:pStyle w:val="Heading1"/>
      </w:pPr>
      <w:r>
        <w:t>2 Prior art and the remaining research question</w:t>
      </w:r>
    </w:p>
    <w:p>
      <w:pPr/>
      <w:r>
        <w:t>The literature reviewed on 22 October 2026 already contains close precedents. The comparison below defines the scope of the proposed contributions; it does not establish priority or exhaust the literature. Repeat the search before submission and inspect newly available code and supplements.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Prior work</w:t>
            </w:r>
          </w:p>
        </w:tc>
        <w:tc>
          <w:tcPr>
            <w:tcW w:type="dxa" w:w="3816"/>
            <w:vAlign w:val="center"/>
            <w:shd w:fill="DCE6EF"/>
          </w:tcPr>
          <w:p>
            <w:pPr>
              <w:pStyle w:val="TableText"/>
            </w:pPr>
            <w:r>
              <w:rPr>
                <w:b/>
                <w:color w:val="000000"/>
              </w:rPr>
              <w:t>Established overlap</w:t>
            </w:r>
          </w:p>
        </w:tc>
        <w:tc>
          <w:tcPr>
            <w:tcW w:type="dxa" w:w="3888"/>
            <w:vAlign w:val="center"/>
            <w:shd w:fill="DCE6EF"/>
          </w:tcPr>
          <w:p>
            <w:pPr>
              <w:pStyle w:val="TableText"/>
            </w:pPr>
            <w:r>
              <w:rPr>
                <w:b/>
                <w:color w:val="000000"/>
              </w:rPr>
              <w:t>Required distinction in this project</w:t>
            </w:r>
          </w:p>
        </w:tc>
      </w:tr>
      <w:tr>
        <w:trPr>
          <w:cantSplit/>
        </w:trPr>
        <w:tc>
          <w:tcPr>
            <w:tcW w:type="dxa" w:w="2376"/>
            <w:vAlign w:val="center"/>
          </w:tcPr>
          <w:p>
            <w:pPr>
              <w:pStyle w:val="TableText"/>
            </w:pPr>
            <w:r>
              <w:t>QUASAR [R1]</w:t>
            </w:r>
          </w:p>
        </w:tc>
        <w:tc>
          <w:tcPr>
            <w:tcW w:type="dxa" w:w="3816"/>
            <w:vAlign w:val="center"/>
          </w:tcPr>
          <w:p>
            <w:pPr>
              <w:pStyle w:val="TableText"/>
            </w:pPr>
            <w:r>
              <w:t>Tool-augmented quantum assembly generation and hierarchical RL rewards</w:t>
            </w:r>
          </w:p>
        </w:tc>
        <w:tc>
          <w:tcPr>
            <w:tcW w:type="dxa" w:w="3888"/>
            <w:vAlign w:val="center"/>
          </w:tcPr>
          <w:p>
            <w:pPr>
              <w:pStyle w:val="TableText"/>
            </w:pPr>
            <w:r>
              <w:t>Quantify semantic correctness under explicit composition contracts and verification allocation at the group-update level</w:t>
            </w:r>
          </w:p>
        </w:tc>
      </w:tr>
      <w:tr>
        <w:trPr>
          <w:cantSplit/>
        </w:trPr>
        <w:tc>
          <w:tcPr>
            <w:tcW w:type="dxa" w:w="2376"/>
            <w:vAlign w:val="center"/>
            <w:shd w:fill="F5F7F9"/>
          </w:tcPr>
          <w:p>
            <w:pPr>
              <w:pStyle w:val="TableText"/>
            </w:pPr>
            <w:r>
              <w:t>VISTA [R2]</w:t>
            </w:r>
          </w:p>
        </w:tc>
        <w:tc>
          <w:tcPr>
            <w:tcW w:type="dxa" w:w="3816"/>
            <w:vAlign w:val="center"/>
            <w:shd w:fill="F5F7F9"/>
          </w:tcPr>
          <w:p>
            <w:pPr>
              <w:pStyle w:val="TableText"/>
            </w:pPr>
            <w:r>
              <w:t>Staged quantum verification and budget-aware evaluation</w:t>
            </w:r>
          </w:p>
        </w:tc>
        <w:tc>
          <w:tcPr>
            <w:tcW w:type="dxa" w:w="3888"/>
            <w:vAlign w:val="center"/>
            <w:shd w:fill="F5F7F9"/>
          </w:tcPr>
          <w:p>
            <w:pPr>
              <w:pStyle w:val="TableText"/>
            </w:pPr>
            <w:r>
              <w:t>Compare against stage gating; demonstrate value from group-dependent uncertainty bounds and conservative coefficients</w:t>
            </w:r>
          </w:p>
        </w:tc>
      </w:tr>
      <w:tr>
        <w:trPr>
          <w:cantSplit/>
        </w:trPr>
        <w:tc>
          <w:tcPr>
            <w:tcW w:type="dxa" w:w="2376"/>
            <w:vAlign w:val="center"/>
          </w:tcPr>
          <w:p>
            <w:pPr>
              <w:pStyle w:val="TableText"/>
            </w:pPr>
            <w:r>
              <w:t>RubriQ [R3]</w:t>
            </w:r>
          </w:p>
        </w:tc>
        <w:tc>
          <w:tcPr>
            <w:tcW w:type="dxa" w:w="3816"/>
            <w:vAlign w:val="center"/>
          </w:tcPr>
          <w:p>
            <w:pPr>
              <w:pStyle w:val="TableText"/>
            </w:pPr>
            <w:r>
              <w:t>Quantum GRPO with fidelity, hardware, and resource rubrics</w:t>
            </w:r>
          </w:p>
        </w:tc>
        <w:tc>
          <w:tcPr>
            <w:tcW w:type="dxa" w:w="3888"/>
            <w:vAlign w:val="center"/>
          </w:tcPr>
          <w:p>
            <w:pPr>
              <w:pStyle w:val="TableText"/>
            </w:pPr>
            <w:r>
              <w:t>Resource-aware quantum GRPO alone is insufficient as a contribution</w:t>
            </w:r>
          </w:p>
        </w:tc>
      </w:tr>
      <w:tr>
        <w:trPr>
          <w:cantSplit/>
        </w:trPr>
        <w:tc>
          <w:tcPr>
            <w:tcW w:type="dxa" w:w="2376"/>
            <w:vAlign w:val="center"/>
            <w:shd w:fill="F5F7F9"/>
          </w:tcPr>
          <w:p>
            <w:pPr>
              <w:pStyle w:val="TableText"/>
            </w:pPr>
            <w:r>
              <w:t>QuantumQA [R4]</w:t>
            </w:r>
          </w:p>
        </w:tc>
        <w:tc>
          <w:tcPr>
            <w:tcW w:type="dxa" w:w="3816"/>
            <w:vAlign w:val="center"/>
            <w:shd w:fill="F5F7F9"/>
          </w:tcPr>
          <w:p>
            <w:pPr>
              <w:pStyle w:val="TableText"/>
            </w:pPr>
            <w:r>
              <w:t>Quantum reasoning data and verification-aware rewards</w:t>
            </w:r>
          </w:p>
        </w:tc>
        <w:tc>
          <w:tcPr>
            <w:tcW w:type="dxa" w:w="3888"/>
            <w:vAlign w:val="center"/>
            <w:shd w:fill="F5F7F9"/>
          </w:tcPr>
          <w:p>
            <w:pPr>
              <w:pStyle w:val="TableText"/>
            </w:pPr>
            <w:r>
              <w:t>Separate executable certificates from semantic judging and test theory-to-code transfer</w:t>
            </w:r>
          </w:p>
        </w:tc>
      </w:tr>
      <w:tr>
        <w:trPr>
          <w:cantSplit/>
        </w:trPr>
        <w:tc>
          <w:tcPr>
            <w:tcW w:type="dxa" w:w="2376"/>
            <w:vAlign w:val="center"/>
          </w:tcPr>
          <w:p>
            <w:pPr>
              <w:pStyle w:val="TableText"/>
            </w:pPr>
            <w:r>
              <w:t>Range-GRPO [R5]</w:t>
            </w:r>
          </w:p>
        </w:tc>
        <w:tc>
          <w:tcPr>
            <w:tcW w:type="dxa" w:w="3816"/>
            <w:vAlign w:val="center"/>
          </w:tcPr>
          <w:p>
            <w:pPr>
              <w:pStyle w:val="TableText"/>
            </w:pPr>
            <w:r>
              <w:t>Reward intervals, pairwise uncertainty weighting, and the point-interval Dr. GRPO limit</w:t>
            </w:r>
          </w:p>
        </w:tc>
        <w:tc>
          <w:tcPr>
            <w:tcW w:type="dxa" w:w="3888"/>
            <w:vAlign w:val="center"/>
          </w:tcPr>
          <w:p>
            <w:pPr>
              <w:pStyle w:val="TableText"/>
            </w:pPr>
            <w:r>
              <w:t>Acquire executable evidence adaptively and certify signs relative to the exact mean-centered reward; compare using identical intervals</w:t>
            </w:r>
          </w:p>
        </w:tc>
      </w:tr>
      <w:tr>
        <w:trPr>
          <w:cantSplit/>
        </w:trPr>
        <w:tc>
          <w:tcPr>
            <w:tcW w:type="dxa" w:w="2376"/>
            <w:vAlign w:val="center"/>
            <w:shd w:fill="F5F7F9"/>
          </w:tcPr>
          <w:p>
            <w:pPr>
              <w:pStyle w:val="TableText"/>
            </w:pPr>
            <w:r>
              <w:t>MorphQ and MetaMorphQ [R6, R7]</w:t>
            </w:r>
          </w:p>
        </w:tc>
        <w:tc>
          <w:tcPr>
            <w:tcW w:type="dxa" w:w="3816"/>
            <w:vAlign w:val="center"/>
            <w:shd w:fill="F5F7F9"/>
          </w:tcPr>
          <w:p>
            <w:pPr>
              <w:pStyle w:val="TableText"/>
            </w:pPr>
            <w:r>
              <w:t>Quantum metamorphic tests, transformations, and physics-based invariants</w:t>
            </w:r>
          </w:p>
        </w:tc>
        <w:tc>
          <w:tcPr>
            <w:tcW w:type="dxa" w:w="3888"/>
            <w:vAlign w:val="center"/>
            <w:shd w:fill="F5F7F9"/>
          </w:tcPr>
          <w:p>
            <w:pPr>
              <w:pStyle w:val="TableText"/>
            </w:pPr>
            <w:r>
              <w:t>Study contract-changing contexts and certified failure witnesses, including transfer between theory and code</w:t>
            </w:r>
          </w:p>
        </w:tc>
      </w:tr>
      <w:tr>
        <w:trPr>
          <w:cantSplit/>
        </w:trPr>
        <w:tc>
          <w:tcPr>
            <w:tcW w:type="dxa" w:w="2376"/>
            <w:vAlign w:val="center"/>
          </w:tcPr>
          <w:p>
            <w:pPr>
              <w:pStyle w:val="TableText"/>
            </w:pPr>
            <w:r>
              <w:t>Quantum compiler assurance survey [R8]</w:t>
            </w:r>
          </w:p>
        </w:tc>
        <w:tc>
          <w:tcPr>
            <w:tcW w:type="dxa" w:w="3816"/>
            <w:vAlign w:val="center"/>
          </w:tcPr>
          <w:p>
            <w:pPr>
              <w:pStyle w:val="TableText"/>
            </w:pPr>
            <w:r>
              <w:t>Semantic contracts, interface observations, and inconclusive evidence</w:t>
            </w:r>
          </w:p>
        </w:tc>
        <w:tc>
          <w:tcPr>
            <w:tcW w:type="dxa" w:w="3888"/>
            <w:vAlign w:val="center"/>
          </w:tcPr>
          <w:p>
            <w:pPr>
              <w:pStyle w:val="TableText"/>
            </w:pPr>
            <w:r>
              <w:t>Deliver and evaluate a training method and benchmark rather than claim contracts themselves are new</w:t>
            </w:r>
          </w:p>
        </w:tc>
      </w:tr>
      <w:tr>
        <w:trPr>
          <w:cantSplit/>
        </w:trPr>
        <w:tc>
          <w:tcPr>
            <w:tcW w:type="dxa" w:w="2376"/>
            <w:vAlign w:val="center"/>
            <w:shd w:fill="F5F7F9"/>
          </w:tcPr>
          <w:p>
            <w:pPr>
              <w:pStyle w:val="TableText"/>
            </w:pPr>
            <w:r>
              <w:t>AIR-OPD and Learning to Disprove [R9, R10]</w:t>
            </w:r>
          </w:p>
        </w:tc>
        <w:tc>
          <w:tcPr>
            <w:tcW w:type="dxa" w:w="3816"/>
            <w:vAlign w:val="center"/>
            <w:shd w:fill="F5F7F9"/>
          </w:tcPr>
          <w:p>
            <w:pPr>
              <w:pStyle w:val="TableText"/>
            </w:pPr>
            <w:r>
              <w:t>Repair distillation and formally checked counterexample training</w:t>
            </w:r>
          </w:p>
        </w:tc>
        <w:tc>
          <w:tcPr>
            <w:tcW w:type="dxa" w:w="3888"/>
            <w:vAlign w:val="center"/>
            <w:shd w:fill="F5F7F9"/>
          </w:tcPr>
          <w:p>
            <w:pPr>
              <w:pStyle w:val="TableText"/>
            </w:pPr>
            <w:r>
              <w:t>Isolate quantum witness selection and cross-representation transfer beyond ordinary repair or counterexample supervision</w:t>
            </w:r>
          </w:p>
        </w:tc>
      </w:tr>
      <w:tr>
        <w:trPr>
          <w:cantSplit/>
        </w:trPr>
        <w:tc>
          <w:tcPr>
            <w:tcW w:type="dxa" w:w="2376"/>
            <w:vAlign w:val="center"/>
          </w:tcPr>
          <w:p>
            <w:pPr>
              <w:pStyle w:val="TableText"/>
            </w:pPr>
            <w:r>
              <w:t>Confidence sequences and multifidelity policy gradients [R11, R12]</w:t>
            </w:r>
          </w:p>
        </w:tc>
        <w:tc>
          <w:tcPr>
            <w:tcW w:type="dxa" w:w="3816"/>
            <w:vAlign w:val="center"/>
          </w:tcPr>
          <w:p>
            <w:pPr>
              <w:pStyle w:val="TableText"/>
            </w:pPr>
            <w:r>
              <w:t>Sequential uncertainty control and use of inexpensive simulation</w:t>
            </w:r>
          </w:p>
        </w:tc>
        <w:tc>
          <w:tcPr>
            <w:tcW w:type="dxa" w:w="3888"/>
            <w:vAlign w:val="center"/>
          </w:tcPr>
          <w:p>
            <w:pPr>
              <w:pStyle w:val="TableText"/>
            </w:pPr>
            <w:r>
              <w:t>Do not claim these foundations; distinguish bounded surrogate deviation from unbiased gradient estimation</w:t>
            </w:r>
          </w:p>
        </w:tc>
      </w:tr>
    </w:tbl>
    <w:p>
      <w:pPr>
        <w:spacing w:after="40" w:before="0" w:line="240" w:lineRule="auto"/>
      </w:pPr>
      <w:r>
        <w:rPr>
          <w:sz w:val="4"/>
        </w:rPr>
      </w:r>
    </w:p>
    <w:p>
      <w:pPr/>
      <w:r>
        <w:t>Range-GRPO uses interval midpoint differences weighted by the combined uncertainty of each pair. Our proposed conservative coefficient instead abstains whenever the sign of the exact mean-centered advantage is unresolved. This changes the learning objective and can discard useful signal. Its benefit must therefore be demonstrated under equal evidence budgets, not inferred from conservatism. [R5]</w:t>
      </w:r>
    </w:p>
    <w:p>
      <w:pPr/>
      <w:r>
        <w:t>VISTA makes verification scheduling a direct baseline, not an optional comparison. The relevant question is whether acquiring evidence according to its effect on a complete group update improves the cost–quality frontier beyond a staged verifier. Where published code cannot be run, label a reconstruction as such and document the differences. [R2]</w:t>
      </w:r>
    </w:p>
    <w:p>
      <w:pPr/>
      <w:r>
        <w:rPr>
          <w:b/>
        </w:rPr>
        <w:t>Publication decision.</w:t>
      </w:r>
      <w:r>
        <w:t xml:space="preserve"> A larger model, a longer context, a broader software stack, or a new acronym is not enough. The study must establish an incremental mechanism, a reproducible implementation, and gains against the nearest feasible alternatives. The elementary bounds in Section 3 support the method; they are not, by themselves, a claim of a new theorem in probability or optimization.</w:t>
      </w:r>
    </w:p>
    <w:p>
      <w:pPr>
        <w:pStyle w:val="Heading1"/>
      </w:pPr>
      <w:r>
        <w:t>3 Research candidate one Verification allocation for group updates</w:t>
      </w:r>
    </w:p>
    <w:p>
      <w:pPr>
        <w:pStyle w:val="Heading2"/>
      </w:pPr>
      <w:r>
        <w:t>3.1 Problem definition</w:t>
      </w:r>
    </w:p>
    <w:p>
      <w:pPr/>
      <w:r>
        <w:t xml:space="preserve">Fix a task, its reward contract, a behavior policy, and a group of G completed candidates. Let </w:t>
      </w:r>
      <w:r>
        <w:rPr>
          <w:rFonts w:ascii="DejaVu Sans Mono" w:hAnsi="DejaVu Sans Mono" w:eastAsia="DejaVu Sans"/>
          <w:sz w:val="17"/>
        </w:rPr>
        <w:t>r_i*</w:t>
      </w:r>
      <w:r>
        <w:t xml:space="preserve"> be the reward that an ideal verifier would assign to candidate i under that contract. It is a fixed quantity conditional on the candidate and task. For a QEC task, simulator shots estimate an underlying logical failure probability; that probability is mapped through the reward rule. A single noisy success or failure is not the ideal correctness label.</w:t>
      </w:r>
    </w:p>
    <w:p>
      <w:pPr/>
      <w:r>
        <w:t xml:space="preserve">Each trusted verifier returns an interval </w:t>
      </w:r>
      <w:r>
        <w:rPr>
          <w:rFonts w:ascii="DejaVu Sans Mono" w:hAnsi="DejaVu Sans Mono" w:eastAsia="DejaVu Sans"/>
          <w:sz w:val="17"/>
        </w:rPr>
        <w:t>[l_i, u_i]</w:t>
      </w:r>
      <w:r>
        <w:t xml:space="preserve"> containing </w:t>
      </w:r>
      <w:r>
        <w:rPr>
          <w:rFonts w:ascii="DejaVu Sans Mono" w:hAnsi="DejaVu Sans Mono" w:eastAsia="DejaVu Sans"/>
          <w:sz w:val="17"/>
        </w:rPr>
        <w:t>r_i*</w:t>
      </w:r>
      <w:r>
        <w:t xml:space="preserve"> under a stated deterministic or statistical guarantee. Exact checked outcomes give point intervals. An unsupported approximation provides no certificate and cannot justify a narrow interval. Initialize unresolved candidates with the full contract support </w:t>
      </w:r>
      <w:r>
        <w:rPr>
          <w:rFonts w:ascii="DejaVu Sans Mono" w:hAnsi="DejaVu Sans Mono" w:eastAsia="DejaVu Sans"/>
          <w:sz w:val="17"/>
        </w:rPr>
        <w:t>[-1, 1+b_max]</w:t>
      </w:r>
      <w:r>
        <w:t xml:space="preserve">, which is </w:t>
      </w:r>
      <w:r>
        <w:rPr>
          <w:rFonts w:ascii="DejaVu Sans Mono" w:hAnsi="DejaVu Sans Mono" w:eastAsia="DejaVu Sans"/>
          <w:sz w:val="17"/>
        </w:rPr>
        <w:t>[-1, 1.25]</w:t>
      </w:r>
      <w:r>
        <w:t xml:space="preserve"> under Section 12. Format validity alone does not exclude other contract violations. Narrow to </w:t>
      </w:r>
      <w:r>
        <w:rPr>
          <w:rFonts w:ascii="DejaVu Sans Mono" w:hAnsi="DejaVu Sans Mono" w:eastAsia="DejaVu Sans"/>
          <w:sz w:val="17"/>
        </w:rPr>
        <w:t>[0, 1+b_i]</w:t>
      </w:r>
      <w:r>
        <w:t xml:space="preserve"> only after every condition that could produce -1 has been ruled out and the correctness-gated resource bonus </w:t>
      </w:r>
      <w:r>
        <w:rPr>
          <w:rFonts w:ascii="DejaVu Sans Mono" w:hAnsi="DejaVu Sans Mono" w:eastAsia="DejaVu Sans"/>
          <w:sz w:val="17"/>
        </w:rPr>
        <w:t>b_i</w:t>
      </w:r>
      <w:r>
        <w:t xml:space="preserve"> is known.</w:t>
      </w:r>
    </w:p>
    <w:p>
      <w:pPr/>
      <w:r>
        <w:t>The statistical contract is joint coverage over all candidates and all evidence acquisitions that feed committed updates. It must account for adaptive stopping and repeated groups. Marginal coverage of an LLM judge on a held-out calibration set is insufficient for the guarantee below. Correlation between candidates is allowed if the joint coverage claim is valid.</w:t>
      </w:r>
    </w:p>
    <w:p>
      <w:pPr/>
      <w:r>
        <w:t xml:space="preserve">Infrastructure failure remains </w:t>
      </w:r>
      <w:r>
        <w:rPr>
          <w:rFonts w:ascii="DejaVu Sans Mono" w:hAnsi="DejaVu Sans Mono" w:eastAsia="DejaVu Sans"/>
          <w:sz w:val="17"/>
        </w:rPr>
        <w:t>VOID</w:t>
      </w:r>
      <w:r>
        <w:t xml:space="preserve"> with no usable reward evidence. The default point-reward pipeline quarantines any group containing a null reward. A separately versioned research mode may consume a complete group of valid reward intervals while some semantic verdicts remain </w:t>
      </w:r>
      <w:r>
        <w:rPr>
          <w:rFonts w:ascii="DejaVu Sans Mono" w:hAnsi="DejaVu Sans Mono" w:eastAsia="DejaVu Sans"/>
          <w:sz w:val="17"/>
        </w:rPr>
        <w:t>UNKNOWN</w:t>
      </w:r>
      <w:r>
        <w:t>. It must retain those verdicts and must never report an interval-based update as a verified PASS.</w:t>
      </w:r>
    </w:p>
    <w:p>
      <w:pPr>
        <w:pStyle w:val="Heading2"/>
      </w:pPr>
      <w:r>
        <w:t>3.2 Exact advantage bounds</w:t>
      </w:r>
    </w:p>
    <w:p>
      <w:pPr/>
      <w:r>
        <w:t>Use mean-centered, unstandardized rewards:</w:t>
      </w:r>
    </w:p>
    <w:p>
      <w:pPr/>
      <w:r>
        <w:rPr>
          <w:rFonts w:ascii="DejaVu Sans Mono" w:hAnsi="DejaVu Sans Mono" w:eastAsia="DejaVu Sans"/>
          <w:sz w:val="17"/>
        </w:rPr>
        <w:t>A_i* = r_i* - (1/G) Σ_j r_j*</w:t>
      </w:r>
      <w:r>
        <w:t>.</w:t>
      </w:r>
    </w:p>
    <w:p>
      <w:pPr/>
      <w:r>
        <w:t>For a rectangular reward uncertainty set, the exact extrema are:</w:t>
      </w:r>
    </w:p>
    <w:p>
      <w:pPr/>
      <w:r>
        <w:rPr>
          <w:rFonts w:ascii="DejaVu Sans Mono" w:hAnsi="DejaVu Sans Mono" w:eastAsia="DejaVu Sans"/>
          <w:sz w:val="17"/>
        </w:rPr>
        <w:t>L_i = (1 - 1/G) l_i - (1/G) Σ_{j≠i} u_j</w:t>
      </w:r>
    </w:p>
    <w:p>
      <w:pPr/>
      <w:r>
        <w:rPr>
          <w:rFonts w:ascii="DejaVu Sans Mono" w:hAnsi="DejaVu Sans Mono" w:eastAsia="DejaVu Sans"/>
          <w:sz w:val="17"/>
        </w:rPr>
        <w:t>U_i = (1 - 1/G) u_i - (1/G) Σ_{j≠i} l_j</w:t>
      </w:r>
      <w:r>
        <w:t>.</w:t>
      </w:r>
    </w:p>
    <w:p>
      <w:pPr/>
      <w:r>
        <w:t xml:space="preserve">Define the conservative coefficient </w:t>
      </w:r>
      <w:r>
        <w:rPr>
          <w:rFonts w:ascii="DejaVu Sans Mono" w:hAnsi="DejaVu Sans Mono" w:eastAsia="DejaVu Sans"/>
          <w:sz w:val="17"/>
        </w:rPr>
        <w:t>c_i</w:t>
      </w:r>
      <w:r>
        <w:t xml:space="preserve"> as </w:t>
      </w:r>
      <w:r>
        <w:rPr>
          <w:rFonts w:ascii="DejaVu Sans Mono" w:hAnsi="DejaVu Sans Mono" w:eastAsia="DejaVu Sans"/>
          <w:sz w:val="17"/>
        </w:rPr>
        <w:t>L_i</w:t>
      </w:r>
      <w:r>
        <w:t xml:space="preserve"> when </w:t>
      </w:r>
      <w:r>
        <w:rPr>
          <w:rFonts w:ascii="DejaVu Sans Mono" w:hAnsi="DejaVu Sans Mono" w:eastAsia="DejaVu Sans"/>
          <w:sz w:val="17"/>
        </w:rPr>
        <w:t>L_i &gt; 0</w:t>
      </w:r>
      <w:r>
        <w:t xml:space="preserve">, as </w:t>
      </w:r>
      <w:r>
        <w:rPr>
          <w:rFonts w:ascii="DejaVu Sans Mono" w:hAnsi="DejaVu Sans Mono" w:eastAsia="DejaVu Sans"/>
          <w:sz w:val="17"/>
        </w:rPr>
        <w:t>U_i</w:t>
      </w:r>
      <w:r>
        <w:t xml:space="preserve"> when </w:t>
      </w:r>
      <w:r>
        <w:rPr>
          <w:rFonts w:ascii="DejaVu Sans Mono" w:hAnsi="DejaVu Sans Mono" w:eastAsia="DejaVu Sans"/>
          <w:sz w:val="17"/>
        </w:rPr>
        <w:t>U_i &lt; 0</w:t>
      </w:r>
      <w:r>
        <w:t>, and as zero otherwise. Detach intervals and coefficients from autograd. Do not re-center or standardize these coefficients afterward: either operation can invalidate their sign interpretation.</w:t>
      </w:r>
    </w:p>
    <w:p>
      <w:pPr/>
      <w:r>
        <w:rPr>
          <w:b/>
        </w:rPr>
        <w:t>Proposition 1.</w:t>
      </w:r>
      <w:r>
        <w:t xml:space="preserve"> On the event that every reward lies in its interval, </w:t>
      </w:r>
      <w:r>
        <w:rPr>
          <w:rFonts w:ascii="DejaVu Sans Mono" w:hAnsi="DejaVu Sans Mono" w:eastAsia="DejaVu Sans"/>
          <w:sz w:val="17"/>
        </w:rPr>
        <w:t>A_i*</w:t>
      </w:r>
      <w:r>
        <w:t xml:space="preserve"> lies in </w:t>
      </w:r>
      <w:r>
        <w:rPr>
          <w:rFonts w:ascii="DejaVu Sans Mono" w:hAnsi="DejaVu Sans Mono" w:eastAsia="DejaVu Sans"/>
          <w:sz w:val="17"/>
        </w:rPr>
        <w:t>[L_i, U_i]</w:t>
      </w:r>
      <w:r>
        <w:t xml:space="preserve">. Every nonzero </w:t>
      </w:r>
      <w:r>
        <w:rPr>
          <w:rFonts w:ascii="DejaVu Sans Mono" w:hAnsi="DejaVu Sans Mono" w:eastAsia="DejaVu Sans"/>
          <w:sz w:val="17"/>
        </w:rPr>
        <w:t>c_i</w:t>
      </w:r>
      <w:r>
        <w:t xml:space="preserve"> has the sign of </w:t>
      </w:r>
      <w:r>
        <w:rPr>
          <w:rFonts w:ascii="DejaVu Sans Mono" w:hAnsi="DejaVu Sans Mono" w:eastAsia="DejaVu Sans"/>
          <w:sz w:val="17"/>
        </w:rPr>
        <w:t>A_i*</w:t>
      </w:r>
      <w:r>
        <w:t xml:space="preserve">, and </w:t>
      </w:r>
      <w:r>
        <w:rPr>
          <w:rFonts w:ascii="DejaVu Sans Mono" w:hAnsi="DejaVu Sans Mono" w:eastAsia="DejaVu Sans"/>
          <w:sz w:val="17"/>
        </w:rPr>
        <w:t>|c_i| ≤ |A_i*|</w:t>
      </w:r>
      <w:r>
        <w:t>. Point intervals recover the ordinary mean-centered coefficient.</w:t>
      </w:r>
    </w:p>
    <w:p>
      <w:pPr/>
      <w:r>
        <w:rPr>
          <w:b/>
        </w:rPr>
        <w:t>Proof.</w:t>
      </w:r>
      <w:r>
        <w:t xml:space="preserve"> The coefficient of </w:t>
      </w:r>
      <w:r>
        <w:rPr>
          <w:rFonts w:ascii="DejaVu Sans Mono" w:hAnsi="DejaVu Sans Mono" w:eastAsia="DejaVu Sans"/>
          <w:sz w:val="17"/>
        </w:rPr>
        <w:t>r_i*</w:t>
      </w:r>
      <w:r>
        <w:t xml:space="preserve"> in the centered advantage is positive; every other coefficient is negative. Choosing the corresponding interval endpoints gives the extrema. Selecting the endpoint closest to zero when the interval excludes zero proves the sign and magnitude statements. Substitution proves the point-interval case.</w:t>
      </w:r>
    </w:p>
    <w:p>
      <w:pPr/>
      <w:r>
        <w:t>This proposition certifies signs of scalar surrogate coefficients. It does not prove an unbiased policy gradient, alignment of the full parameter update, monotonic policy improvement, or convergence. Conservative coefficients generally do not sum to zero, and abstention changes the objective.</w:t>
      </w:r>
    </w:p>
    <w:p>
      <w:pPr>
        <w:pStyle w:val="Heading2"/>
      </w:pPr>
      <w:r>
        <w:t>3.3 A computable bound for evidence allocation</w:t>
      </w:r>
    </w:p>
    <w:p>
      <w:pPr/>
      <w:r>
        <w:t xml:space="preserve">For a token probability ratio </w:t>
      </w:r>
      <w:r>
        <w:rPr>
          <w:rFonts w:ascii="DejaVu Sans Mono" w:hAnsi="DejaVu Sans Mono" w:eastAsia="DejaVu Sans"/>
          <w:sz w:val="17"/>
        </w:rPr>
        <w:t>ρ ≥ 0</w:t>
      </w:r>
      <w:r>
        <w:t xml:space="preserve">, let </w:t>
      </w:r>
      <w:r>
        <w:rPr>
          <w:rFonts w:ascii="DejaVu Sans Mono" w:hAnsi="DejaVu Sans Mono" w:eastAsia="DejaVu Sans"/>
          <w:sz w:val="17"/>
        </w:rPr>
        <w:t>q = clip(ρ, 1-ε, 1+ε)</w:t>
      </w:r>
      <w:r>
        <w:t xml:space="preserve"> and </w:t>
      </w:r>
      <w:r>
        <w:rPr>
          <w:rFonts w:ascii="DejaVu Sans Mono" w:hAnsi="DejaVu Sans Mono" w:eastAsia="DejaVu Sans"/>
          <w:sz w:val="17"/>
        </w:rPr>
        <w:t>f(ρ,a) = min(ρa, qa)</w:t>
      </w:r>
      <w:r>
        <w:t xml:space="preserve">. Compare two losses on exactly the same tokens, masks, fixed completion cap, current policy, and reference KL: one uses </w:t>
      </w:r>
      <w:r>
        <w:rPr>
          <w:rFonts w:ascii="DejaVu Sans Mono" w:hAnsi="DejaVu Sans Mono" w:eastAsia="DejaVu Sans"/>
          <w:sz w:val="17"/>
        </w:rPr>
        <w:t>A_i*</w:t>
      </w:r>
      <w:r>
        <w:t xml:space="preserve">, the other uses </w:t>
      </w:r>
      <w:r>
        <w:rPr>
          <w:rFonts w:ascii="DejaVu Sans Mono" w:hAnsi="DejaVu Sans Mono" w:eastAsia="DejaVu Sans"/>
          <w:sz w:val="17"/>
        </w:rPr>
        <w:t>c_i</w:t>
      </w:r>
      <w:r>
        <w:t>.</w:t>
      </w:r>
    </w:p>
    <w:p>
      <w:pPr/>
      <w:r>
        <w:t xml:space="preserve">Let </w:t>
      </w:r>
      <w:r>
        <w:rPr>
          <w:rFonts w:ascii="DejaVu Sans Mono" w:hAnsi="DejaVu Sans Mono" w:eastAsia="DejaVu Sans"/>
          <w:sz w:val="17"/>
        </w:rPr>
        <w:t>w_i = u_i-l_i</w:t>
      </w:r>
      <w:r>
        <w:t xml:space="preserve">, </w:t>
      </w:r>
      <w:r>
        <w:rPr>
          <w:rFonts w:ascii="DejaVu Sans Mono" w:hAnsi="DejaVu Sans Mono" w:eastAsia="DejaVu Sans"/>
          <w:sz w:val="17"/>
        </w:rPr>
        <w:t>Δ_i = U_i-L_i</w:t>
      </w:r>
      <w:r>
        <w:t>, and define:</w:t>
      </w:r>
    </w:p>
    <w:p>
      <w:pPr/>
      <w:r>
        <w:rPr>
          <w:rFonts w:ascii="DejaVu Sans Mono" w:hAnsi="DejaVu Sans Mono" w:eastAsia="DejaVu Sans"/>
          <w:sz w:val="17"/>
        </w:rPr>
        <w:t>s_i = (1/L_cap) Σ_t m_it max(ρ_it, q_it)</w:t>
      </w:r>
      <w:r>
        <w:t>.</w:t>
      </w:r>
    </w:p>
    <w:p>
      <w:pPr/>
      <w:r>
        <w:rPr>
          <w:b/>
        </w:rPr>
        <w:t>Proposition 2.</w:t>
      </w:r>
      <w:r>
        <w:t xml:space="preserve"> On the joint coverage event, the absolute difference between the two clipped surrogate losses, with identical KL terms, is at most:</w:t>
      </w:r>
    </w:p>
    <w:p>
      <w:pPr/>
      <w:r>
        <w:rPr>
          <w:rFonts w:ascii="DejaVu Sans Mono" w:hAnsi="DejaVu Sans Mono" w:eastAsia="DejaVu Sans"/>
          <w:sz w:val="17"/>
        </w:rPr>
        <w:t>B = (1/G) Σ_i s_i Δ_i</w:t>
      </w:r>
      <w:r>
        <w:t>.</w:t>
      </w:r>
    </w:p>
    <w:p>
      <w:pPr/>
      <w:r>
        <w:rPr>
          <w:b/>
        </w:rPr>
        <w:t>Proof.</w:t>
      </w:r>
      <w:r>
        <w:t xml:space="preserve"> For fixed ρ, </w:t>
      </w:r>
      <w:r>
        <w:rPr>
          <w:rFonts w:ascii="DejaVu Sans Mono" w:hAnsi="DejaVu Sans Mono" w:eastAsia="DejaVu Sans"/>
          <w:sz w:val="17"/>
        </w:rPr>
        <w:t>f</w:t>
      </w:r>
      <w:r>
        <w:t xml:space="preserve"> is Lipschitz in its second argument with constant </w:t>
      </w:r>
      <w:r>
        <w:rPr>
          <w:rFonts w:ascii="DejaVu Sans Mono" w:hAnsi="DejaVu Sans Mono" w:eastAsia="DejaVu Sans"/>
          <w:sz w:val="17"/>
        </w:rPr>
        <w:t>max(ρ,q)</w:t>
      </w:r>
      <w:r>
        <w:t xml:space="preserve">. Proposition 1 gives </w:t>
      </w:r>
      <w:r>
        <w:rPr>
          <w:rFonts w:ascii="DejaVu Sans Mono" w:hAnsi="DejaVu Sans Mono" w:eastAsia="DejaVu Sans"/>
          <w:sz w:val="17"/>
        </w:rPr>
        <w:t>|A_i*-c_i| ≤ Δ_i</w:t>
      </w:r>
      <w:r>
        <w:t>, including the abstention case. Apply the triangle inequality to the masked token sum. The identical KL terms cancel.</w:t>
      </w:r>
    </w:p>
    <w:p>
      <w:pPr/>
      <w:r>
        <w:t xml:space="preserve">Because </w:t>
      </w:r>
      <w:r>
        <w:rPr>
          <w:rFonts w:ascii="DejaVu Sans Mono" w:hAnsi="DejaVu Sans Mono" w:eastAsia="DejaVu Sans"/>
          <w:sz w:val="17"/>
        </w:rPr>
        <w:t>Δ_i = (1-1/G)w_i + (1/G)Σ_{j≠i}w_j</w:t>
      </w:r>
      <w:r>
        <w:t>, the same bound can be written as:</w:t>
      </w:r>
    </w:p>
    <w:p>
      <w:pPr/>
      <w:r>
        <w:rPr>
          <w:rFonts w:ascii="DejaVu Sans Mono" w:hAnsi="DejaVu Sans Mono" w:eastAsia="DejaVu Sans"/>
          <w:sz w:val="17"/>
        </w:rPr>
        <w:t>B = Σ_j k_j w_j</w:t>
      </w:r>
      <w:r>
        <w:t xml:space="preserve">, where </w:t>
      </w:r>
      <w:r>
        <w:rPr>
          <w:rFonts w:ascii="DejaVu Sans Mono" w:hAnsi="DejaVu Sans Mono" w:eastAsia="DejaVu Sans"/>
          <w:sz w:val="17"/>
        </w:rPr>
        <w:t>k_j = ((G-1)s_j + Σ_{i≠j}s_i)/G²</w:t>
      </w:r>
      <w:r>
        <w:t>.</w:t>
      </w:r>
    </w:p>
    <w:p>
      <w:pPr/>
      <w:r>
        <w:t>This decomposition exposes the effect of refining one candidate on the entire group. A candidate with an uncertain reward affects other candidates through their group baseline. It is therefore useful to consider evidence acquisition jointly rather than stopping every candidate at a uniform sample count.</w:t>
      </w:r>
    </w:p>
    <w:p>
      <w:pPr/>
      <w:r>
        <w:t xml:space="preserve">The bound is a surrogate-value bound, not a gradient-error bound. Ratios can exceed the clipping range, so </w:t>
      </w:r>
      <w:r>
        <w:rPr>
          <w:rFonts w:ascii="DejaVu Sans Mono" w:hAnsi="DejaVu Sans Mono" w:eastAsia="DejaVu Sans"/>
          <w:sz w:val="17"/>
        </w:rPr>
        <w:t>s_i</w:t>
      </w:r>
      <w:r>
        <w:t xml:space="preserve"> must not be silently capped at </w:t>
      </w:r>
      <w:r>
        <w:rPr>
          <w:rFonts w:ascii="DejaVu Sans Mono" w:hAnsi="DejaVu Sans Mono" w:eastAsia="DejaVu Sans"/>
          <w:sz w:val="17"/>
        </w:rPr>
        <w:t>1+ε</w:t>
      </w:r>
      <w:r>
        <w:t xml:space="preserve">. Freeze </w:t>
      </w:r>
      <w:r>
        <w:rPr>
          <w:rFonts w:ascii="DejaVu Sans Mono" w:hAnsi="DejaVu Sans Mono" w:eastAsia="DejaVu Sans"/>
          <w:sz w:val="17"/>
        </w:rPr>
        <w:t>s_i</w:t>
      </w:r>
      <w:r>
        <w:t xml:space="preserve"> only while scoring candidate acquisitions, and recompute the bound at the actual learner policy before updating. Early experiments keep the behavior and learner policy synchronized to reduce this source of drift.</w:t>
      </w:r>
    </w:p>
    <w:p>
      <w:pPr>
        <w:pStyle w:val="Heading2"/>
      </w:pPr>
      <w:r>
        <w:t>3.4 Acquisition policy</w:t>
      </w:r>
    </w:p>
    <w:p>
      <w:pPr/>
      <w:r>
        <w:t xml:space="preserve">Define the certified coefficient mass as </w:t>
      </w:r>
      <w:r>
        <w:rPr>
          <w:rFonts w:ascii="DejaVu Sans Mono" w:hAnsi="DejaVu Sans Mono" w:eastAsia="DejaVu Sans"/>
          <w:sz w:val="17"/>
        </w:rPr>
        <w:t>M = (1/G) Σ_i s_i |c_i|</w:t>
      </w:r>
      <w:r>
        <w:t xml:space="preserve">. This is a weighted scalar magnitude, not gradient magnitude or a guarantee of useful learning signal. For nested reward intervals and frozen nonnegative </w:t>
      </w:r>
      <w:r>
        <w:rPr>
          <w:rFonts w:ascii="DejaVu Sans Mono" w:hAnsi="DejaVu Sans Mono" w:eastAsia="DejaVu Sans"/>
          <w:sz w:val="17"/>
        </w:rPr>
        <w:t>s_i</w:t>
      </w:r>
      <w:r>
        <w:t xml:space="preserve">, each </w:t>
      </w:r>
      <w:r>
        <w:rPr>
          <w:rFonts w:ascii="DejaVu Sans Mono" w:hAnsi="DejaVu Sans Mono" w:eastAsia="DejaVu Sans"/>
          <w:sz w:val="17"/>
        </w:rPr>
        <w:t>L_i</w:t>
      </w:r>
      <w:r>
        <w:t xml:space="preserve"> can only increase and each </w:t>
      </w:r>
      <w:r>
        <w:rPr>
          <w:rFonts w:ascii="DejaVu Sans Mono" w:hAnsi="DejaVu Sans Mono" w:eastAsia="DejaVu Sans"/>
          <w:sz w:val="17"/>
        </w:rPr>
        <w:t>U_i</w:t>
      </w:r>
      <w:r>
        <w:t xml:space="preserve"> can only decrease. Consequently, </w:t>
      </w:r>
      <w:r>
        <w:rPr>
          <w:rFonts w:ascii="DejaVu Sans Mono" w:hAnsi="DejaVu Sans Mono" w:eastAsia="DejaVu Sans"/>
          <w:sz w:val="17"/>
        </w:rPr>
        <w:t>|c_i|</w:t>
      </w:r>
      <w:r>
        <w:t xml:space="preserve"> and M cannot decrease. Narrowing one candidate's interval can resolve signs or increase certified magnitudes throughout the group.</w:t>
      </w:r>
    </w:p>
    <w:p>
      <w:pPr/>
      <w:r>
        <w:t>For an available check a on candidate j, predict its execution cost, interval-width reduction, and change in M using development traces. Rank checks by:</w:t>
      </w:r>
    </w:p>
    <w:p>
      <w:pPr/>
      <w:r>
        <w:rPr>
          <w:rFonts w:ascii="DejaVu Sans Mono" w:hAnsi="DejaVu Sans Mono" w:eastAsia="DejaVu Sans"/>
          <w:sz w:val="17"/>
        </w:rPr>
        <w:t>priority(j,a) = (k_j × E[width reduction] + λ × E[M_after - M_before]) / E[cost]</w:t>
      </w:r>
      <w:r>
        <w:t>.</w:t>
      </w:r>
    </w:p>
    <w:p>
      <w:pPr/>
      <w:r>
        <w:t>All expectations are conditional on currently revealed evidence and the proposed check. Freeze a positive, dimensionless λ on development data before evaluation; λ=1 is a pilot candidate, not a validated optimum. Use deterministic tie breaking and a minimum service quota for each task family. Predicted reductions and costs cannot narrow an interval or certify correctness. Recompute priorities after each evidence arrival and recompute actual coefficients and M at the learner policy.</w:t>
      </w:r>
    </w:p>
    <w:p>
      <w:pPr/>
      <w:r>
        <w:rPr>
          <w:b/>
        </w:rPr>
        <w:t>Required degeneration control.</w:t>
      </w:r>
      <w:r>
        <w:t xml:space="preserve"> With synchronized policies and equal completion lengths, all </w:t>
      </w:r>
      <w:r>
        <w:rPr>
          <w:rFonts w:ascii="DejaVu Sans Mono" w:hAnsi="DejaVu Sans Mono" w:eastAsia="DejaVu Sans"/>
          <w:sz w:val="17"/>
        </w:rPr>
        <w:t>s_i</w:t>
      </w:r>
      <w:r>
        <w:t xml:space="preserve"> and </w:t>
      </w:r>
      <w:r>
        <w:rPr>
          <w:rFonts w:ascii="DejaVu Sans Mono" w:hAnsi="DejaVu Sans Mono" w:eastAsia="DejaVu Sans"/>
          <w:sz w:val="17"/>
        </w:rPr>
        <w:t>k_j</w:t>
      </w:r>
      <w:r>
        <w:t xml:space="preserve"> are equal. The λ=0 allocator then reduces exactly to expected interval-width reduction per cost, up to a shared constant. The mass term adds dependence on reward locations and the other candidates even in this regime. Compare λ&gt;0 against λ=0 and ordinary uncertainty scheduling at matched budgets. Require an incremental end-to-end benefit before attributing gains to the proposed group-dependent acquisition mechanism.</w:t>
      </w:r>
    </w:p>
    <w:p>
      <w:pPr/>
      <w:r>
        <w:t>The priority is a heuristic, not an optimal allocation rule. Increasing M does not certify parameter-gradient alignment and can favor easily separated or extreme groups. Preserve family quotas, full generation denominators, and held-out semantic evaluation to expose that selection effect.</w:t>
      </w:r>
    </w:p>
    <w:p>
      <w:pPr/>
      <w:r>
        <w:t>Run cheap structural checks first when they can return valid certificates or counterexamples. Increase statistical samples where justified, or switch to an exact or symbolic verifier when statistical evidence is too expensive. A deterministic proof can collapse an interval immediately. An approximate simulator without an error bound may help choose the next check but cannot manufacture a certificate.</w:t>
      </w:r>
    </w:p>
    <w:p>
      <w:pPr/>
      <w:r>
        <w:t>Stop acquisition when the bound is below a predeclared tolerance, the group becomes exact, or the group budget expires. At budget expiry, interval mode may use conservative coefficients if the group is complete and all evidence contracts are valid; point mode quarantines unresolved groups. Preserve G and the original denominator in both modes. Never keep only the fastest or successful candidates. Record all abstentions, unresolved verdicts, costs, and family coverage.</w:t>
      </w:r>
    </w:p>
    <w:p>
      <w:pPr>
        <w:pStyle w:val="Code"/>
        <w:keepNext/>
      </w:pPr>
      <w:r>
        <w:t>freeze task, reward contract, behavior policy, and all G candidates</w:t>
      </w:r>
    </w:p>
    <w:p>
      <w:pPr>
        <w:pStyle w:val="Code"/>
        <w:keepNext/>
      </w:pPr>
      <w:r>
        <w:t>validate candidate identities and initialize honest reward intervals</w:t>
      </w:r>
    </w:p>
    <w:p>
      <w:pPr>
        <w:pStyle w:val="Code"/>
        <w:keepNext/>
      </w:pPr>
      <w:r>
        <w:t>while budget remains and bound exceeds the frozen tolerance:</w:t>
      </w:r>
    </w:p>
    <w:p>
      <w:pPr>
        <w:pStyle w:val="Code"/>
        <w:keepNext/>
      </w:pPr>
      <w:r>
        <w:t xml:space="preserve">    compute group bounds and acquisition priorities</w:t>
      </w:r>
    </w:p>
    <w:p>
      <w:pPr>
        <w:pStyle w:val="Code"/>
        <w:keepNext/>
      </w:pPr>
      <w:r>
        <w:t xml:space="preserve">    execute one eligible trusted check under its evidence budget</w:t>
      </w:r>
    </w:p>
    <w:p>
      <w:pPr>
        <w:pStyle w:val="Code"/>
        <w:keepNext/>
      </w:pPr>
      <w:r>
        <w:t xml:space="preserve">    validate its scope and coverage; update that candidate interval</w:t>
      </w:r>
    </w:p>
    <w:p>
      <w:pPr>
        <w:pStyle w:val="Code"/>
        <w:keepNext/>
      </w:pPr>
      <w:r>
        <w:t xml:space="preserve">    reject contradictory certificates and infrastructure corruption</w:t>
      </w:r>
    </w:p>
    <w:p>
      <w:pPr>
        <w:pStyle w:val="Code"/>
        <w:keepNext/>
      </w:pPr>
      <w:r>
        <w:t>recompute ratios, staleness checks, coefficients, and bound at learner</w:t>
      </w:r>
    </w:p>
    <w:p>
      <w:pPr>
        <w:pStyle w:val="Code"/>
        <w:keepNext/>
      </w:pPr>
      <w:r>
        <w:t>commit one complete group under point mode or interval mode</w:t>
      </w:r>
    </w:p>
    <w:p>
      <w:pPr>
        <w:pStyle w:val="Code"/>
        <w:keepNext w:val="0"/>
      </w:pPr>
      <w:r>
        <w:t>retain an independent full-verification audit stream</w:t>
      </w:r>
    </w:p>
    <w:p>
      <w:pPr>
        <w:spacing w:after="20" w:line="120" w:lineRule="auto"/>
      </w:pPr>
    </w:p>
    <w:p>
      <w:pPr/>
      <w:r>
        <w:t>Intersect compatible valid intervals to retain accumulated evidence. An empty intersection indicates numerical inconsistency, a violated confidence event, or an implementation error; quarantine it and preserve the evidence rather than selecting the more favorable interval. Changing the candidate, simulator model, noise distribution, or reward contract starts a new evidence stream.</w:t>
      </w:r>
    </w:p>
    <w:p>
      <w:pPr>
        <w:pStyle w:val="Heading2"/>
      </w:pPr>
      <w:r>
        <w:t>3.5 A transparent sequential certificate</w:t>
      </w:r>
    </w:p>
    <w:p>
      <w:pPr/>
      <w:r>
        <w:t xml:space="preserve">For an auditable starting implementation, consider one Bernoulli measurement channel per candidate, such as logical decoding failure under a fixed noise model. Index evidence groups by </w:t>
      </w:r>
      <w:r>
        <w:rPr>
          <w:rFonts w:ascii="DejaVu Sans Mono" w:hAnsi="DejaVu Sans Mono" w:eastAsia="DejaVu Sans"/>
          <w:sz w:val="17"/>
        </w:rPr>
        <w:t>m ≥ 1</w:t>
      </w:r>
      <w:r>
        <w:t>. Allocate total miscoverage budget δ using:</w:t>
      </w:r>
    </w:p>
    <w:p>
      <w:pPr/>
      <w:r>
        <w:rPr>
          <w:rFonts w:ascii="DejaVu Sans Mono" w:hAnsi="DejaVu Sans Mono" w:eastAsia="DejaVu Sans"/>
          <w:sz w:val="17"/>
        </w:rPr>
        <w:t>δ_m = 6δ / (π²m²)</w:t>
      </w:r>
      <w:r>
        <w:t xml:space="preserve"> and </w:t>
      </w:r>
      <w:r>
        <w:rPr>
          <w:rFonts w:ascii="DejaVu Sans Mono" w:hAnsi="DejaVu Sans Mono" w:eastAsia="DejaVu Sans"/>
          <w:sz w:val="17"/>
        </w:rPr>
        <w:t>α_m,i,n = 6δ_m / (Gπ²n²)</w:t>
      </w:r>
      <w:r>
        <w:t>.</w:t>
      </w:r>
    </w:p>
    <w:p>
      <w:pPr/>
      <w:r>
        <w:t>After n fresh shots of a fixed candidate, use a clipped Hoeffding interval around the empirical mean with radius:</w:t>
      </w:r>
    </w:p>
    <w:p>
      <w:pPr/>
      <w:r>
        <w:rPr>
          <w:rFonts w:ascii="DejaVu Sans Mono" w:hAnsi="DejaVu Sans Mono" w:eastAsia="DejaVu Sans"/>
          <w:sz w:val="17"/>
        </w:rPr>
        <w:t>e_n = sqrt(log(2/α_m,i,n)/(2n))</w:t>
      </w:r>
      <w:r>
        <w:t>.</w:t>
      </w:r>
    </w:p>
    <w:p>
      <w:pPr/>
      <w:r>
        <w:t xml:space="preserve">At n=0 use </w:t>
      </w:r>
      <w:r>
        <w:rPr>
          <w:rFonts w:ascii="DejaVu Sans Mono" w:hAnsi="DejaVu Sans Mono" w:eastAsia="DejaVu Sans"/>
          <w:sz w:val="17"/>
        </w:rPr>
        <w:t>[0,1]</w:t>
      </w:r>
      <w:r>
        <w:t>. A union bound over groups, candidates, and sample counts gives total miscoverage at most δ. Sampling must be conditionally independent with the specified fixed Bernoulli law given the candidate and prior history. Adaptive allocation across candidates is compatible with this construction; adaptive changes to their underlying distributions are not. Additional observables, new candidates, retries that restart inference, and repeated certification claims require explicit entries in the error-budget ledger.</w:t>
      </w:r>
    </w:p>
    <w:p>
      <w:pPr/>
      <w:r>
        <w:t xml:space="preserve">Map the probability interval through the </w:t>
      </w:r>
      <w:r>
        <w:rPr>
          <w:b/>
        </w:rPr>
        <w:t>entire reward rule</w:t>
      </w:r>
      <w:r>
        <w:t xml:space="preserve">, taking the image or a valid enclosing interval. For example, when a correctness bonus depends on </w:t>
      </w:r>
      <w:r>
        <w:rPr>
          <w:rFonts w:ascii="DejaVu Sans Mono" w:hAnsi="DejaVu Sans Mono" w:eastAsia="DejaVu Sans"/>
          <w:sz w:val="17"/>
        </w:rPr>
        <w:t>p ≤ p_max</w:t>
      </w:r>
      <w:r>
        <w:t xml:space="preserve">, an interval crossing </w:t>
      </w:r>
      <w:r>
        <w:rPr>
          <w:rFonts w:ascii="DejaVu Sans Mono" w:hAnsi="DejaVu Sans Mono" w:eastAsia="DejaVu Sans"/>
          <w:sz w:val="17"/>
        </w:rPr>
        <w:t>p_max</w:t>
      </w:r>
      <w:r>
        <w:t xml:space="preserve"> must preserve both pass and fail rewards. It cannot be replaced by a bonus computed at the midpoint. Add certified numerical or truncation error separately; statistical concentration does not bound simulator bias.</w:t>
      </w:r>
    </w:p>
    <w:p>
      <w:pPr/>
      <w:r>
        <w:t>This construction is deliberately simple and often conservative. Tighter confidence sequences can be substituted after independent derivation and calibration tests. Near-zero logical error rates and near-unit fidelity can make naive concentration prohibitively costly; the experiment must measure this limit and allow exact or structural fallback. Confidence-sequence theory is prior work. [R11]</w:t>
      </w:r>
    </w:p>
    <w:p>
      <w:pPr>
        <w:pStyle w:val="Heading2"/>
      </w:pPr>
      <w:r>
        <w:t>3.6 What would establish value</w:t>
      </w:r>
    </w:p>
    <w:p>
      <w:pPr/>
      <w:r>
        <w:t>First use a frozen candidate pool whose reference rewards can be fully resolved. Replay competing acquisition policies against the same pool. Measure false acceptance, interval coverage, incorrect nonzero signs, abstention, surrogate deviation, verifier cost, and family coverage. Check actual surrogate error against the predicted bound. This isolates verification from changes in the model distribution.</w:t>
      </w:r>
    </w:p>
    <w:p>
      <w:pPr/>
      <w:r>
        <w:t>Then use a factorial study: coefficient rule {midpoint Dr. GRPO, Range-GRPO, conservative coefficients} × allocator {uniform, staged gating, bound-only λ=0, proposed λ&gt;0 allocation}. Within each allocator, evaluate coefficient rules on identical attained intervals. Across allocators, fix initial information and observation streams but permit different revealed evidence and final intervals. Include full-verification Dr. GRPO as the accuracy reference. Match candidate pools for replay and training tokens, evidence budgets, model revisions, and evaluation protocols for end-to-end studies. Report synchronized, equal-length replay separately to test the degeneration described above.</w:t>
      </w:r>
    </w:p>
    <w:p>
      <w:pPr/>
      <w:r>
        <w:t>A proposed go/no-go target is at least 20% lower verifier cost at a predeclared accuracy noninferiority margin, with no increase in false acceptance and no unexplained family-coverage loss. Freeze the numerical target and margin from an independent pilot. If only the allocator helps, claim an allocation method. If only conservative coefficients help, narrow the claim accordingly. If the confidence bounds force almost universal abstention, redesign or reject the method.</w:t>
      </w:r>
    </w:p>
    <w:p>
      <w:pPr>
        <w:pStyle w:val="Heading1"/>
      </w:pPr>
      <w:r>
        <w:t>4 Research candidate two Contextual semantic challenges</w:t>
      </w:r>
    </w:p>
    <w:p>
      <w:pPr>
        <w:pStyle w:val="Heading2"/>
      </w:pPr>
      <w:r>
        <w:t>4.1 The semantic unit</w:t>
      </w:r>
    </w:p>
    <w:p>
      <w:pPr/>
      <w:r>
        <w:t>A task contract records the object being implemented, its input and output spaces, wire and classical-bit maps, allowed operations, ancilla obligations, phase convention, approximation metric, parameter domain, hardware target, and intended composition contexts. These fields identify which equivalence relation is relevant. A standalone quantum channel and a coherently controlled implementation are different interfaces.</w:t>
      </w:r>
    </w:p>
    <w:p>
      <w:pPr/>
      <w:r>
        <w:t>Build a challenge record from a root specification, a candidate implementation, an allowed context, and a certificate or independently verified witness. Distinguish two transformation classes. An equivalence-preserving transform transports a known-valid solution under stated assumptions. A contract-changing transform strengthens or changes the required behavior and must be reverified; it must never inherit a positive label automatically.</w:t>
      </w:r>
    </w:p>
    <w:p>
      <w:pPr/>
      <w:r>
        <w:t xml:space="preserve">Existing metamorphic testing already includes transformed quantum programs and combinations of transformations. The proposed delta is a learning and evaluation protocol built around </w:t>
      </w:r>
      <w:r>
        <w:rPr>
          <w:b/>
        </w:rPr>
        <w:t>changes in validity under context</w:t>
      </w:r>
      <w:r>
        <w:t>, connected to matching mathematical statements and executable witnesses. [R6, R7, R8]</w:t>
      </w:r>
    </w:p>
    <w:p>
      <w:pPr>
        <w:pStyle w:val="Heading2"/>
      </w:pPr>
      <w:r>
        <w:t>4.2 A canonical phase challenge</w:t>
      </w:r>
    </w:p>
    <w:p>
      <w:pPr/>
      <w:r>
        <w:t xml:space="preserve">Let </w:t>
      </w:r>
      <w:r>
        <w:rPr>
          <w:rFonts w:ascii="DejaVu Sans Mono" w:hAnsi="DejaVu Sans Mono" w:eastAsia="DejaVu Sans"/>
          <w:sz w:val="17"/>
        </w:rPr>
        <w:t>U = I</w:t>
      </w:r>
      <w:r>
        <w:t xml:space="preserve"> and </w:t>
      </w:r>
      <w:r>
        <w:rPr>
          <w:rFonts w:ascii="DejaVu Sans Mono" w:hAnsi="DejaVu Sans Mono" w:eastAsia="DejaVu Sans"/>
          <w:sz w:val="17"/>
        </w:rPr>
        <w:t>V = -I</w:t>
      </w:r>
      <w:r>
        <w:t xml:space="preserve">. As standalone unitary channels they act identically on density matrices, and their phase-invariant process fidelity is 1. However, controlled-U is the identity while controlled-V applies Z to the control qubit. On </w:t>
      </w:r>
      <w:r>
        <w:rPr>
          <w:rFonts w:ascii="DejaVu Sans Mono" w:hAnsi="DejaVu Sans Mono" w:eastAsia="DejaVu Sans"/>
          <w:sz w:val="17"/>
        </w:rPr>
        <w:t>|+&gt; ⊗ |0&gt;</w:t>
      </w:r>
      <w:r>
        <w:t xml:space="preserve">, the outputs have orthogonal control states </w:t>
      </w:r>
      <w:r>
        <w:rPr>
          <w:rFonts w:ascii="DejaVu Sans Mono" w:hAnsi="DejaVu Sans Mono" w:eastAsia="DejaVu Sans"/>
          <w:sz w:val="17"/>
        </w:rPr>
        <w:t>|+&gt;</w:t>
      </w:r>
      <w:r>
        <w:t xml:space="preserve"> and </w:t>
      </w:r>
      <w:r>
        <w:rPr>
          <w:rFonts w:ascii="DejaVu Sans Mono" w:hAnsi="DejaVu Sans Mono" w:eastAsia="DejaVu Sans"/>
          <w:sz w:val="17"/>
        </w:rPr>
        <w:t>|-&gt;</w:t>
      </w:r>
      <w:r>
        <w:t>. A comparison that removes global phase from the subroutine would miss the error in the controlled context.</w:t>
      </w:r>
    </w:p>
    <w:p>
      <w:pPr/>
      <w:r>
        <w:t xml:space="preserve">For the general relation </w:t>
      </w:r>
      <w:r>
        <w:rPr>
          <w:rFonts w:ascii="DejaVu Sans Mono" w:hAnsi="DejaVu Sans Mono" w:eastAsia="DejaVu Sans"/>
          <w:sz w:val="17"/>
        </w:rPr>
        <w:t>V = exp(iφ)U</w:t>
      </w:r>
      <w:r>
        <w:t xml:space="preserve">, the phase-invariant process fidelity of their controlled extensions is </w:t>
      </w:r>
      <w:r>
        <w:rPr>
          <w:rFonts w:ascii="DejaVu Sans Mono" w:hAnsi="DejaVu Sans Mono" w:eastAsia="DejaVu Sans"/>
          <w:sz w:val="17"/>
        </w:rPr>
        <w:t>cos²(φ/2)</w:t>
      </w:r>
      <w:r>
        <w:t xml:space="preserve">. This follows by taking the normalized trace of </w:t>
      </w:r>
      <w:r>
        <w:rPr>
          <w:rFonts w:ascii="DejaVu Sans Mono" w:hAnsi="DejaVu Sans Mono" w:eastAsia="DejaVu Sans"/>
          <w:sz w:val="17"/>
        </w:rPr>
        <w:t>diag(I, exp(iφ)I)</w:t>
      </w:r>
      <w:r>
        <w:t>. The example is established quantum mechanics, not a new discovery. Its role is to provide an exact diagnostic linking a theorem, a circuit, and a composition contract.</w:t>
      </w:r>
    </w:p>
    <w:p>
      <w:pPr/>
      <w:r>
        <w:t>Represent the witness as a small state-preparation and measurement program, rather than a dense statevector whenever possible. Replaying it should distinguish the two implementations under the declared context. The context must expose the effect physically; computational-basis probabilities alone can conceal phase errors.</w:t>
      </w:r>
    </w:p>
    <w:p>
      <w:pPr>
        <w:pStyle w:val="Heading2"/>
      </w:pPr>
      <w:r>
        <w:t>4.3 Challenge families and controlled interventions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Intervention</w:t>
            </w:r>
          </w:p>
        </w:tc>
        <w:tc>
          <w:tcPr>
            <w:tcW w:type="dxa" w:w="3816"/>
            <w:vAlign w:val="center"/>
            <w:shd w:fill="DCE6EF"/>
          </w:tcPr>
          <w:p>
            <w:pPr>
              <w:pStyle w:val="TableText"/>
            </w:pPr>
            <w:r>
              <w:rPr>
                <w:b/>
                <w:color w:val="000000"/>
              </w:rPr>
              <w:t>Paired semantic question</w:t>
            </w:r>
          </w:p>
        </w:tc>
        <w:tc>
          <w:tcPr>
            <w:tcW w:type="dxa" w:w="3888"/>
            <w:vAlign w:val="center"/>
            <w:shd w:fill="DCE6EF"/>
          </w:tcPr>
          <w:p>
            <w:pPr>
              <w:pStyle w:val="TableText"/>
            </w:pPr>
            <w:r>
              <w:rPr>
                <w:b/>
                <w:color w:val="000000"/>
              </w:rPr>
              <w:t>Required evidence</w:t>
            </w:r>
          </w:p>
        </w:tc>
      </w:tr>
      <w:tr>
        <w:trPr>
          <w:cantSplit/>
        </w:trPr>
        <w:tc>
          <w:tcPr>
            <w:tcW w:type="dxa" w:w="2376"/>
            <w:vAlign w:val="center"/>
          </w:tcPr>
          <w:p>
            <w:pPr>
              <w:pStyle w:val="TableText"/>
            </w:pPr>
            <w:r>
              <w:t>Add coherent control</w:t>
            </w:r>
          </w:p>
        </w:tc>
        <w:tc>
          <w:tcPr>
            <w:tcW w:type="dxa" w:w="3816"/>
            <w:vAlign w:val="center"/>
          </w:tcPr>
          <w:p>
            <w:pPr>
              <w:pStyle w:val="TableText"/>
            </w:pPr>
            <w:r>
              <w:t>Does a phase-equivalent subroutine remain valid?</w:t>
            </w:r>
          </w:p>
        </w:tc>
        <w:tc>
          <w:tcPr>
            <w:tcW w:type="dxa" w:w="3888"/>
            <w:vAlign w:val="center"/>
          </w:tcPr>
          <w:p>
            <w:pPr>
              <w:pStyle w:val="TableText"/>
            </w:pPr>
            <w:r>
              <w:t>Exact small-matrix comparison or a phase-sensitive witness</w:t>
            </w:r>
          </w:p>
        </w:tc>
      </w:tr>
      <w:tr>
        <w:trPr>
          <w:cantSplit/>
        </w:trPr>
        <w:tc>
          <w:tcPr>
            <w:tcW w:type="dxa" w:w="2376"/>
            <w:vAlign w:val="center"/>
            <w:shd w:fill="F5F7F9"/>
          </w:tcPr>
          <w:p>
            <w:pPr>
              <w:pStyle w:val="TableText"/>
            </w:pPr>
            <w:r>
              <w:t>Change wire or bit interpretation</w:t>
            </w:r>
          </w:p>
        </w:tc>
        <w:tc>
          <w:tcPr>
            <w:tcW w:type="dxa" w:w="3816"/>
            <w:vAlign w:val="center"/>
            <w:shd w:fill="F5F7F9"/>
          </w:tcPr>
          <w:p>
            <w:pPr>
              <w:pStyle w:val="TableText"/>
            </w:pPr>
            <w:r>
              <w:t>Does the delivered interface preserve the declared mapping?</w:t>
            </w:r>
          </w:p>
        </w:tc>
        <w:tc>
          <w:tcPr>
            <w:tcW w:type="dxa" w:w="3888"/>
            <w:vAlign w:val="center"/>
            <w:shd w:fill="F5F7F9"/>
          </w:tcPr>
          <w:p>
            <w:pPr>
              <w:pStyle w:val="TableText"/>
            </w:pPr>
            <w:r>
              <w:t>Independent mapping oracle and asymmetric test inputs</w:t>
            </w:r>
          </w:p>
        </w:tc>
      </w:tr>
      <w:tr>
        <w:trPr>
          <w:cantSplit/>
        </w:trPr>
        <w:tc>
          <w:tcPr>
            <w:tcW w:type="dxa" w:w="2376"/>
            <w:vAlign w:val="center"/>
          </w:tcPr>
          <w:p>
            <w:pPr>
              <w:pStyle w:val="TableText"/>
            </w:pPr>
            <w:r>
              <w:t>Reuse an ancilla</w:t>
            </w:r>
          </w:p>
        </w:tc>
        <w:tc>
          <w:tcPr>
            <w:tcW w:type="dxa" w:w="3816"/>
            <w:vAlign w:val="center"/>
          </w:tcPr>
          <w:p>
            <w:pPr>
              <w:pStyle w:val="TableText"/>
            </w:pPr>
            <w:r>
              <w:t>Is the ancilla returned to the required state and uncorrelated?</w:t>
            </w:r>
          </w:p>
        </w:tc>
        <w:tc>
          <w:tcPr>
            <w:tcW w:type="dxa" w:w="3888"/>
            <w:vAlign w:val="center"/>
          </w:tcPr>
          <w:p>
            <w:pPr>
              <w:pStyle w:val="TableText"/>
            </w:pPr>
            <w:r>
              <w:t>Joint-state or channel check, including superposition inputs</w:t>
            </w:r>
          </w:p>
        </w:tc>
      </w:tr>
      <w:tr>
        <w:trPr>
          <w:cantSplit/>
        </w:trPr>
        <w:tc>
          <w:tcPr>
            <w:tcW w:type="dxa" w:w="2376"/>
            <w:vAlign w:val="center"/>
            <w:shd w:fill="F5F7F9"/>
          </w:tcPr>
          <w:p>
            <w:pPr>
              <w:pStyle w:val="TableText"/>
            </w:pPr>
            <w:r>
              <w:t>Add an entangled reference</w:t>
            </w:r>
          </w:p>
        </w:tc>
        <w:tc>
          <w:tcPr>
            <w:tcW w:type="dxa" w:w="3816"/>
            <w:vAlign w:val="center"/>
            <w:shd w:fill="F5F7F9"/>
          </w:tcPr>
          <w:p>
            <w:pPr>
              <w:pStyle w:val="TableText"/>
            </w:pPr>
            <w:r>
              <w:t>Does behavior hold beyond the tested product inputs?</w:t>
            </w:r>
          </w:p>
        </w:tc>
        <w:tc>
          <w:tcPr>
            <w:tcW w:type="dxa" w:w="3888"/>
            <w:vAlign w:val="center"/>
            <w:shd w:fill="F5F7F9"/>
          </w:tcPr>
          <w:p>
            <w:pPr>
              <w:pStyle w:val="TableText"/>
            </w:pPr>
            <w:r>
              <w:t>Channel or reference-assisted witness at supported size</w:t>
            </w:r>
          </w:p>
        </w:tc>
      </w:tr>
      <w:tr>
        <w:trPr>
          <w:cantSplit/>
        </w:trPr>
        <w:tc>
          <w:tcPr>
            <w:tcW w:type="dxa" w:w="2376"/>
            <w:vAlign w:val="center"/>
          </w:tcPr>
          <w:p>
            <w:pPr>
              <w:pStyle w:val="TableText"/>
            </w:pPr>
            <w:r>
              <w:t>Change theorem assumptions</w:t>
            </w:r>
          </w:p>
        </w:tc>
        <w:tc>
          <w:tcPr>
            <w:tcW w:type="dxa" w:w="3816"/>
            <w:vAlign w:val="center"/>
          </w:tcPr>
          <w:p>
            <w:pPr>
              <w:pStyle w:val="TableText"/>
            </w:pPr>
            <w:r>
              <w:t>Does the statement remain true without commutativity or invertibility?</w:t>
            </w:r>
          </w:p>
        </w:tc>
        <w:tc>
          <w:tcPr>
            <w:tcW w:type="dxa" w:w="3888"/>
            <w:vAlign w:val="center"/>
          </w:tcPr>
          <w:p>
            <w:pPr>
              <w:pStyle w:val="TableText"/>
            </w:pPr>
            <w:r>
              <w:t>A new proof or a verified counterexample</w:t>
            </w:r>
          </w:p>
        </w:tc>
      </w:tr>
      <w:tr>
        <w:trPr>
          <w:cantSplit/>
        </w:trPr>
        <w:tc>
          <w:tcPr>
            <w:tcW w:type="dxa" w:w="2376"/>
            <w:vAlign w:val="center"/>
            <w:shd w:fill="F5F7F9"/>
          </w:tcPr>
          <w:p>
            <w:pPr>
              <w:pStyle w:val="TableText"/>
            </w:pPr>
            <w:r>
              <w:t>Change approximation scope</w:t>
            </w:r>
          </w:p>
        </w:tc>
        <w:tc>
          <w:tcPr>
            <w:tcW w:type="dxa" w:w="3816"/>
            <w:vAlign w:val="center"/>
            <w:shd w:fill="F5F7F9"/>
          </w:tcPr>
          <w:p>
            <w:pPr>
              <w:pStyle w:val="TableText"/>
            </w:pPr>
            <w:r>
              <w:t>Is an average-error bound adequate for this application?</w:t>
            </w:r>
          </w:p>
        </w:tc>
        <w:tc>
          <w:tcPr>
            <w:tcW w:type="dxa" w:w="3888"/>
            <w:vAlign w:val="center"/>
            <w:shd w:fill="F5F7F9"/>
          </w:tcPr>
          <w:p>
            <w:pPr>
              <w:pStyle w:val="TableText"/>
            </w:pPr>
            <w:r>
              <w:t>The specified norm or an explicit separating example</w:t>
            </w:r>
          </w:p>
        </w:tc>
      </w:tr>
      <w:tr>
        <w:trPr>
          <w:cantSplit/>
        </w:trPr>
        <w:tc>
          <w:tcPr>
            <w:tcW w:type="dxa" w:w="2376"/>
            <w:vAlign w:val="center"/>
          </w:tcPr>
          <w:p>
            <w:pPr>
              <w:pStyle w:val="TableText"/>
            </w:pPr>
            <w:r>
              <w:t>Compose contexts and SDK translation</w:t>
            </w:r>
          </w:p>
        </w:tc>
        <w:tc>
          <w:tcPr>
            <w:tcW w:type="dxa" w:w="3816"/>
            <w:vAlign w:val="center"/>
          </w:tcPr>
          <w:p>
            <w:pPr>
              <w:pStyle w:val="TableText"/>
            </w:pPr>
            <w:r>
              <w:t>Do locally correct parts remain correct at the exposed interface?</w:t>
            </w:r>
          </w:p>
        </w:tc>
        <w:tc>
          <w:tcPr>
            <w:tcW w:type="dxa" w:w="3888"/>
            <w:vAlign w:val="center"/>
          </w:tcPr>
          <w:p>
            <w:pPr>
              <w:pStyle w:val="TableText"/>
            </w:pPr>
            <w:r>
              <w:t>End-to-end independent execution and provenance</w:t>
            </w:r>
          </w:p>
        </w:tc>
      </w:tr>
    </w:tbl>
    <w:p>
      <w:pPr>
        <w:spacing w:after="40" w:before="0" w:line="240" w:lineRule="auto"/>
      </w:pPr>
      <w:r>
        <w:rPr>
          <w:sz w:val="4"/>
        </w:rPr>
      </w:r>
    </w:p>
    <w:p>
      <w:pPr/>
      <w:r>
        <w:t>For every root, retain valid and invalid instances with comparable surface form. A valid task must not be identifiable simply because it has more assumptions, a longer prompt, or a particular error word. Audit label balance by syntax and family. Include legitimate classical preprocessing and state preparation when the contract permits them; a generic ban would create spurious negatives.</w:t>
      </w:r>
    </w:p>
    <w:p>
      <w:pPr/>
      <w:r>
        <w:t xml:space="preserve">An elementary compositional bound provides another oracle. If unitary implementations satisfy </w:t>
      </w:r>
      <w:r>
        <w:rPr>
          <w:rFonts w:ascii="DejaVu Sans Mono" w:hAnsi="DejaVu Sans Mono" w:eastAsia="DejaVu Sans"/>
          <w:sz w:val="17"/>
        </w:rPr>
        <w:t>||U-V||op ≤ ε</w:t>
      </w:r>
      <w:r>
        <w:t xml:space="preserve"> with a fixed phase convention, then a unitary circuit context containing k occurrences has discrepancy at most </w:t>
      </w:r>
      <w:r>
        <w:rPr>
          <w:rFonts w:ascii="DejaVu Sans Mono" w:hAnsi="DejaVu Sans Mono" w:eastAsia="DejaVu Sans"/>
          <w:sz w:val="17"/>
        </w:rPr>
        <w:t>kε</w:t>
      </w:r>
      <w:r>
        <w:t xml:space="preserve"> by a telescoping expansion and unitary norm invariance. Controlled embeddings preserve the block difference norm. This bound does not automatically apply to arbitrary postselection, renormalization, or a phase-minimized distance. Each broader context needs its own proof obligations.</w:t>
      </w:r>
    </w:p>
    <w:p>
      <w:pPr>
        <w:pStyle w:val="Heading2"/>
      </w:pPr>
      <w:r>
        <w:t>4.4 Training and evaluation design</w:t>
      </w:r>
    </w:p>
    <w:p>
      <w:pPr/>
      <w:r>
        <w:t>Split root algorithms, source theorems, seed ancestors, and witness schemas before generating variants. Include three distinct tests: new instances of known contexts, unseen context combinations, and transfer to an SDK or representation excluded from a specific training slice. Report these separately. Holding out a framework is a deliberate subexperiment, not a reason to omit ordinary multi-framework training from the main model.</w:t>
      </w:r>
    </w:p>
    <w:p>
      <w:pPr/>
      <w:r>
        <w:t>Compare ordinary random augmentation, MorphQ-style invariance augmentation, contextual positive pairs alone, positive plus certified negative pairs, and the full curriculum. Match unique roots, target tokens, teacher calls, and verification cost. Hold out mutation templates as well as numerical parameters to test whether the model learns the underlying obligation.</w:t>
      </w:r>
    </w:p>
    <w:p>
      <w:pPr/>
      <w:r>
        <w:t xml:space="preserve">The primary benchmark metric is </w:t>
      </w:r>
      <w:r>
        <w:rPr>
          <w:b/>
        </w:rPr>
        <w:t>paired semantic accuracy</w:t>
      </w:r>
      <w:r>
        <w:t>: both the ordinary-context task and its changed-context task must be answered correctly. Report the fraction of a root's contexts solved together, failure-witness validity, false rejection of valid implementations, and circuit cost conditional on correctness. Root-level macro averages prevent a prolific generator from dominating the score.</w:t>
      </w:r>
    </w:p>
    <w:p>
      <w:pPr/>
      <w:r>
        <w:t>A useful publication result would show fewer accepted semantic failures and better held-out composition performance than equal-size ordinary augmentation, with corroborating theory-to-code transfer. A collection of known phase or endianness examples without generalization evidence supports a test suite, but a weaker research claim.</w:t>
      </w:r>
    </w:p>
    <w:p>
      <w:pPr/>
      <w:r>
        <w:t>Coherent-control challenges use known circuit descriptions with a declared phase reference. They do not assume that an arbitrary unknown black-box unitary can be turned into a controlled unitary. Include independently adjudicated real SDK or compiler failures alongside generated mutants, and report valid-case retention to expose overly aggressive rejection.</w:t>
      </w:r>
    </w:p>
    <w:p>
      <w:pPr>
        <w:pStyle w:val="Heading1"/>
      </w:pPr>
      <w:r>
        <w:t>5 Research candidate three Witness transfer distillation</w:t>
      </w:r>
    </w:p>
    <w:p>
      <w:pPr>
        <w:pStyle w:val="Heading2"/>
      </w:pPr>
      <w:r>
        <w:t>5.1 Data object and mechanism</w:t>
      </w:r>
    </w:p>
    <w:p>
      <w:pPr/>
      <w:r>
        <w:t>A failure witness is a small, checkable object that refutes a specific candidate under a specified contract. Examples include a state-preparation circuit and observable, a wire permutation, an ancilla reuse context, a finite-dimensional matrix counterexample, or a Lean-checked assignment satisfying all current assumptions and falsifying the claimed conclusion. A removed-assumption task uses its amended contract; violating an assumption does not refute the original conditional theorem. The witness contains a contract hash, candidate hash, witness program, observed discrepancy or proof, verification method, and scope.</w:t>
      </w:r>
    </w:p>
    <w:p>
      <w:pPr/>
      <w:r>
        <w:t>The proposed mechanism uses the same underlying failure in multiple representations. A controlled-phase defect can produce a matrix identity question, a theorem/counterexample task, and repairs in two SDKs. The witness supplies the relation between these views. It is not merely an extra paragraph explaining an error.</w:t>
      </w:r>
    </w:p>
    <w:p>
      <w:pPr/>
      <w:r>
        <w:t>Create training views as follows:</w:t>
      </w:r>
    </w:p>
    <w:p>
      <w:pPr>
        <w:ind w:left="288" w:hanging="288"/>
      </w:pPr>
      <w:r>
        <w:t>1. Collect a real failed candidate from the current policy on a training root. Obtain a trusted witness and independently replay it.</w:t>
      </w:r>
    </w:p>
    <w:p>
      <w:pPr>
        <w:ind w:left="288" w:hanging="288"/>
      </w:pPr>
      <w:r>
        <w:t>2. Reduce the witness using bounded delta debugging or certified simplification. Record the reduction procedure; call it reduced rather than globally minimal unless minimality is proved.</w:t>
      </w:r>
    </w:p>
    <w:p>
      <w:pPr>
        <w:ind w:left="288" w:hanging="288"/>
      </w:pPr>
      <w:r>
        <w:t>3. Generate and verify a repaired implementation and a concise explanation of the violated obligation. Keep all unsuccessful attempts and provenance.</w:t>
      </w:r>
    </w:p>
    <w:p>
      <w:pPr>
        <w:ind w:left="288" w:hanging="288"/>
      </w:pPr>
      <w:r>
        <w:t>4. Produce related mathematical and SDK tasks from the same root, with explicit transformations and fresh verification. Do not copy a witness into an unrelated task merely because the error label matches.</w:t>
      </w:r>
    </w:p>
    <w:p>
      <w:pPr>
        <w:ind w:left="288" w:hanging="288"/>
      </w:pPr>
      <w:r>
        <w:t>5. Generate a new successful target from the original public problem. Tool-derived facts remain traceable in metadata; the final target must be independently checkable and must not depend on hidden test inputs unavailable at inference.</w:t>
      </w:r>
    </w:p>
    <w:p>
      <w:pPr>
        <w:ind w:left="288" w:hanging="288"/>
      </w:pPr>
      <w:r>
        <w:t>6. Train on a controlled mixture of successful targets, witness-construction tasks, and repairs. Follow with zero-tool RLVR if it adds measurable value.</w:t>
      </w:r>
    </w:p>
    <w:p>
      <w:pPr/>
      <w:r>
        <w:t>An explanation may summarize a tool-discovered fact accurately. It must not fabricate an internal discovery process, invent experiments, or claim that a verifier observation was known before the call. Use accessible solutions, proof terms, concise derivations, and real tool traces; no inaccessible private reasoning is required.</w:t>
      </w:r>
    </w:p>
    <w:p>
      <w:pPr>
        <w:pStyle w:val="Heading2"/>
      </w:pPr>
      <w:r>
        <w:t>5.2 Experimental separation</w:t>
      </w:r>
    </w:p>
    <w:p>
      <w:pPr/>
      <w:r>
        <w:t>Compare final-answer-only SFT, generic compiler feedback, natural-language repair guidance, checked semantic witnesses, and checked witnesses with cross-representation views. AIR-OPD-style guidance is a direct comparator. Formal counterexample supervision must be compared with the relevant expert-iteration approach rather than presented as new by itself. [R9, R10]</w:t>
      </w:r>
    </w:p>
    <w:p>
      <w:pPr/>
      <w:r>
        <w:t>Match the number of successful targets, their lengths, unique roots, teacher tokens, and verifier budget. Add shuffled-witness, no-reduction, and random-neighbor controls. These controls separate useful witness information from additional teacher effort, data volume, or success selection. If teacher and student tokenizers differ, use sequence-level targets unless a separate valid alignment is implemented.</w:t>
      </w:r>
    </w:p>
    <w:p>
      <w:pPr/>
      <w:r>
        <w:t>Freeze a root-disjoint and witness-schema-disjoint evaluation before generating training views. Measure first-attempt Pass@1 without tools, recurrence of each defect class, valid counterexample rate, and transfer from theory supervision to coding and from coding supervision to theory. Also report the total training cost per percentage-point gain.</w:t>
      </w:r>
    </w:p>
    <w:p>
      <w:pPr/>
      <w:r>
        <w:t>A useful result requires improvement over success-only SFT and comparable repair guidance on unseen families. Improvement only on rewritten versions of the same failure does not establish transferable understanding. The student is not required to reproduce every intermediate teacher action.</w:t>
      </w:r>
    </w:p>
    <w:p>
      <w:pPr>
        <w:pStyle w:val="Heading2"/>
      </w:pPr>
      <w:r>
        <w:t>5.3 Measuring search transfer</w:t>
      </w:r>
    </w:p>
    <w:p>
      <w:pPr/>
      <w:r>
        <w:t>Report absolute scores for the base zero-tool model, the tool agent, and the distilled zero-tool model. Define retained incremental gain as:</w:t>
      </w:r>
    </w:p>
    <w:p>
      <w:pPr/>
      <w:r>
        <w:rPr>
          <w:rFonts w:ascii="DejaVu Sans Mono" w:hAnsi="DejaVu Sans Mono" w:eastAsia="DejaVu Sans"/>
          <w:sz w:val="17"/>
        </w:rPr>
        <w:t>retention = (S_distilled_zero_tool - S_base_zero_tool) / (S_agent - S_base_zero_tool)</w:t>
      </w:r>
      <w:r>
        <w:t>.</w:t>
      </w:r>
    </w:p>
    <w:p>
      <w:pPr/>
      <w:r>
        <w:t>The ratio is undefined when the denominator is nonpositive. Negative values and values above one must remain visible. Compare under explicit generation and tool budgets, and separately report total training cost. The earlier 92% figure is an optional exploratory target, not a promised outcome.</w:t>
      </w:r>
    </w:p>
    <w:p>
      <w:pPr>
        <w:pStyle w:val="Heading1"/>
      </w:pPr>
      <w:r>
        <w:t>6 Publication study and claim discipline</w:t>
      </w:r>
    </w:p>
    <w:p>
      <w:pPr>
        <w:pStyle w:val="Heading2"/>
      </w:pPr>
      <w:r>
        <w:t>6.1 Primary study</w:t>
      </w:r>
    </w:p>
    <w:p>
      <w:pPr/>
      <w:r>
        <w:t xml:space="preserve">The recommended paper question is: </w:t>
      </w:r>
      <w:r>
        <w:rPr>
          <w:b/>
        </w:rPr>
        <w:t>Can executable evidence acquired for a complete group update reduce quantum post-training verification cost without sacrificing independently measured semantic correctness?</w:t>
      </w:r>
      <w:r>
        <w:t xml:space="preserve"> Use contextual tasks to expose failures that easy syntax or output-distribution tests miss. Begin on small exact circuits and fixed statistical QEC tasks, where reference outcomes can be adjudicated, before extending to symbolic proofs or approximate dynamics.</w:t>
      </w:r>
    </w:p>
    <w:p>
      <w:pPr/>
      <w:r>
        <w:t>The paper should contain a precise algorithm, the two supporting propositions with assumptions, reproducible verifier interfaces, the contextual benchmark, a cost-accounted replay experiment, and an end-to-end post-training study. A larger model alone is an application choice. Add a smaller model for accessible reproduction if resources allow, while retaining the requested Qwen model as the main engineering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Study</w:t>
            </w:r>
          </w:p>
        </w:tc>
        <w:tc>
          <w:tcPr>
            <w:tcW w:type="dxa" w:w="3816"/>
            <w:vAlign w:val="center"/>
            <w:shd w:fill="DCE6EF"/>
          </w:tcPr>
          <w:p>
            <w:pPr>
              <w:pStyle w:val="TableText"/>
            </w:pPr>
            <w:r>
              <w:rPr>
                <w:b/>
                <w:color w:val="000000"/>
              </w:rPr>
              <w:t>Fixed controls</w:t>
            </w:r>
          </w:p>
        </w:tc>
        <w:tc>
          <w:tcPr>
            <w:tcW w:type="dxa" w:w="3888"/>
            <w:vAlign w:val="center"/>
            <w:shd w:fill="DCE6EF"/>
          </w:tcPr>
          <w:p>
            <w:pPr>
              <w:pStyle w:val="TableText"/>
            </w:pPr>
            <w:r>
              <w:rPr>
                <w:b/>
                <w:color w:val="000000"/>
              </w:rPr>
              <w:t>Decisive evidence</w:t>
            </w:r>
          </w:p>
        </w:tc>
      </w:tr>
      <w:tr>
        <w:trPr>
          <w:cantSplit/>
        </w:trPr>
        <w:tc>
          <w:tcPr>
            <w:tcW w:type="dxa" w:w="2376"/>
            <w:vAlign w:val="center"/>
          </w:tcPr>
          <w:p>
            <w:pPr>
              <w:pStyle w:val="TableText"/>
            </w:pPr>
            <w:r>
              <w:t>Verifier replay</w:t>
            </w:r>
          </w:p>
        </w:tc>
        <w:tc>
          <w:tcPr>
            <w:tcW w:type="dxa" w:w="3816"/>
            <w:vAlign w:val="center"/>
          </w:tcPr>
          <w:p>
            <w:pPr>
              <w:pStyle w:val="TableText"/>
            </w:pPr>
            <w:r>
              <w:t>Same candidates, contracts, available observation streams, and total budget</w:t>
            </w:r>
          </w:p>
        </w:tc>
        <w:tc>
          <w:tcPr>
            <w:tcW w:type="dxa" w:w="3888"/>
            <w:vAlign w:val="center"/>
          </w:tcPr>
          <w:p>
            <w:pPr>
              <w:pStyle w:val="TableText"/>
            </w:pPr>
            <w:r>
              <w:t>Cost versus reference correctness; bound validity; coverage and abstention</w:t>
            </w:r>
          </w:p>
        </w:tc>
      </w:tr>
      <w:tr>
        <w:trPr>
          <w:cantSplit/>
        </w:trPr>
        <w:tc>
          <w:tcPr>
            <w:tcW w:type="dxa" w:w="2376"/>
            <w:vAlign w:val="center"/>
            <w:shd w:fill="F5F7F9"/>
          </w:tcPr>
          <w:p>
            <w:pPr>
              <w:pStyle w:val="TableText"/>
            </w:pPr>
            <w:r>
              <w:t>Coefficient by allocator factorial</w:t>
            </w:r>
          </w:p>
        </w:tc>
        <w:tc>
          <w:tcPr>
            <w:tcW w:type="dxa" w:w="3816"/>
            <w:vAlign w:val="center"/>
            <w:shd w:fill="F5F7F9"/>
          </w:tcPr>
          <w:p>
            <w:pPr>
              <w:pStyle w:val="TableText"/>
            </w:pPr>
            <w:r>
              <w:t>Same initial information and evidence budget; identical attained intervals within each allocator</w:t>
            </w:r>
          </w:p>
        </w:tc>
        <w:tc>
          <w:tcPr>
            <w:tcW w:type="dxa" w:w="3888"/>
            <w:vAlign w:val="center"/>
            <w:shd w:fill="F5F7F9"/>
          </w:tcPr>
          <w:p>
            <w:pPr>
              <w:pStyle w:val="TableText"/>
            </w:pPr>
            <w:r>
              <w:t>Separate contribution of coefficients and scheduling</w:t>
            </w:r>
          </w:p>
        </w:tc>
      </w:tr>
      <w:tr>
        <w:trPr>
          <w:cantSplit/>
        </w:trPr>
        <w:tc>
          <w:tcPr>
            <w:tcW w:type="dxa" w:w="2376"/>
            <w:vAlign w:val="center"/>
          </w:tcPr>
          <w:p>
            <w:pPr>
              <w:pStyle w:val="TableText"/>
            </w:pPr>
            <w:r>
              <w:t>Context challenge curriculum</w:t>
            </w:r>
          </w:p>
        </w:tc>
        <w:tc>
          <w:tcPr>
            <w:tcW w:type="dxa" w:w="3816"/>
            <w:vAlign w:val="center"/>
          </w:tcPr>
          <w:p>
            <w:pPr>
              <w:pStyle w:val="TableText"/>
            </w:pPr>
            <w:r>
              <w:t>Same roots, target tokens, and teacher budget</w:t>
            </w:r>
          </w:p>
        </w:tc>
        <w:tc>
          <w:tcPr>
            <w:tcW w:type="dxa" w:w="3888"/>
            <w:vAlign w:val="center"/>
          </w:tcPr>
          <w:p>
            <w:pPr>
              <w:pStyle w:val="TableText"/>
            </w:pPr>
            <w:r>
              <w:t>Paired correctness on unseen contracts and compositions</w:t>
            </w:r>
          </w:p>
        </w:tc>
      </w:tr>
      <w:tr>
        <w:trPr>
          <w:cantSplit/>
        </w:trPr>
        <w:tc>
          <w:tcPr>
            <w:tcW w:type="dxa" w:w="2376"/>
            <w:vAlign w:val="center"/>
            <w:shd w:fill="F5F7F9"/>
          </w:tcPr>
          <w:p>
            <w:pPr>
              <w:pStyle w:val="TableText"/>
            </w:pPr>
            <w:r>
              <w:t>Witness transfer</w:t>
            </w:r>
          </w:p>
        </w:tc>
        <w:tc>
          <w:tcPr>
            <w:tcW w:type="dxa" w:w="3816"/>
            <w:vAlign w:val="center"/>
            <w:shd w:fill="F5F7F9"/>
          </w:tcPr>
          <w:p>
            <w:pPr>
              <w:pStyle w:val="TableText"/>
            </w:pPr>
            <w:r>
              <w:t>Same successful targets and feedback budget</w:t>
            </w:r>
          </w:p>
        </w:tc>
        <w:tc>
          <w:tcPr>
            <w:tcW w:type="dxa" w:w="3888"/>
            <w:vAlign w:val="center"/>
            <w:shd w:fill="F5F7F9"/>
          </w:tcPr>
          <w:p>
            <w:pPr>
              <w:pStyle w:val="TableText"/>
            </w:pPr>
            <w:r>
              <w:t>First-attempt gain on held-out witness families and representations</w:t>
            </w:r>
          </w:p>
        </w:tc>
      </w:tr>
      <w:tr>
        <w:trPr>
          <w:cantSplit/>
        </w:trPr>
        <w:tc>
          <w:tcPr>
            <w:tcW w:type="dxa" w:w="2376"/>
            <w:vAlign w:val="center"/>
          </w:tcPr>
          <w:p>
            <w:pPr>
              <w:pStyle w:val="TableText"/>
            </w:pPr>
            <w:r>
              <w:t>End-to-end system</w:t>
            </w:r>
          </w:p>
        </w:tc>
        <w:tc>
          <w:tcPr>
            <w:tcW w:type="dxa" w:w="3816"/>
            <w:vAlign w:val="center"/>
          </w:tcPr>
          <w:p>
            <w:pPr>
              <w:pStyle w:val="TableText"/>
            </w:pPr>
            <w:r>
              <w:t>Same model, prompt, decoding, and deployment budget</w:t>
            </w:r>
          </w:p>
        </w:tc>
        <w:tc>
          <w:tcPr>
            <w:tcW w:type="dxa" w:w="3888"/>
            <w:vAlign w:val="center"/>
          </w:tcPr>
          <w:p>
            <w:pPr>
              <w:pStyle w:val="TableText"/>
            </w:pPr>
            <w:r>
              <w:t>Science and coding gains with general-capability guardrails</w:t>
            </w:r>
          </w:p>
        </w:tc>
      </w:tr>
      <w:tr>
        <w:trPr>
          <w:cantSplit/>
        </w:trPr>
        <w:tc>
          <w:tcPr>
            <w:tcW w:type="dxa" w:w="2376"/>
            <w:vAlign w:val="center"/>
            <w:shd w:fill="F5F7F9"/>
          </w:tcPr>
          <w:p>
            <w:pPr>
              <w:pStyle w:val="TableText"/>
            </w:pPr>
            <w:r>
              <w:t>Runtime scaling</w:t>
            </w:r>
          </w:p>
        </w:tc>
        <w:tc>
          <w:tcPr>
            <w:tcW w:type="dxa" w:w="3816"/>
            <w:vAlign w:val="center"/>
            <w:shd w:fill="F5F7F9"/>
          </w:tcPr>
          <w:p>
            <w:pPr>
              <w:pStyle w:val="TableText"/>
            </w:pPr>
            <w:r>
              <w:t>Same workload and evidence contract</w:t>
            </w:r>
          </w:p>
        </w:tc>
        <w:tc>
          <w:tcPr>
            <w:tcW w:type="dxa" w:w="3888"/>
            <w:vAlign w:val="center"/>
            <w:shd w:fill="F5F7F9"/>
          </w:tcPr>
          <w:p>
            <w:pPr>
              <w:pStyle w:val="TableText"/>
            </w:pPr>
            <w:r>
              <w:t>Useful throughput, queue latency, staleness, restart behavior, and total cost</w:t>
            </w:r>
          </w:p>
        </w:tc>
      </w:tr>
    </w:tbl>
    <w:p>
      <w:pPr>
        <w:spacing w:after="40" w:before="0" w:line="240" w:lineRule="auto"/>
      </w:pPr>
      <w:r>
        <w:rPr>
          <w:sz w:val="4"/>
        </w:rPr>
      </w:r>
    </w:p>
    <w:p>
      <w:pPr/>
      <w:r>
        <w:t>For replay, freeze initial intervals, oracle definitions, confidence budgets, and pre-generated per-candidate observation streams. Allocators may reveal different prefixes and attain different intervals; charge only the revealed evidence and prohibit inspection of future samples. Within an allocator, compare coefficient rules on the same attained intervals. This separates a coefficient treatment from an allocation treatment without erasing either one.</w:t>
      </w:r>
    </w:p>
    <w:p>
      <w:pPr/>
      <w:r>
        <w:t>Besides uniform and stage-gated acquisition, include cheapest-first, uncertainty-only scheduling, and the λ=0 degeneration control. Match the λ&gt;0 method's tuning budget to its comparators. Multifidelity best-arm identification is a relevant allocation foundation, although its objective differs from bounding a complete group surrogate. Do not infer allocation optimality from its literature or from the greedy heuristic. [R13]</w:t>
      </w:r>
    </w:p>
    <w:p>
      <w:pPr>
        <w:pStyle w:val="Heading2"/>
      </w:pPr>
      <w:r>
        <w:t>6.2 Metrics and statistical unit</w:t>
      </w:r>
    </w:p>
    <w:p>
      <w:pPr/>
      <w:r>
        <w:t>Use root tasks or independent source families as the statistical unit. Parameter variants from one generator are correlated. Bootstrap paired model differences at the family level, and disclose training-seed variation separately. Predefine primary endpoints, noninferiority margins, confidence levels, and handling of multiple comparisons. Use development data for algorithm selection and an independent pilot for power analysis.</w:t>
      </w:r>
    </w:p>
    <w:p>
      <w:pPr/>
      <w:r>
        <w:t>Primary research metrics are semantic first-attempt success, verified successes per unit verifier cost, and the cost–accuracy frontier. Secondary diagnostics include incorrect nonzero coefficients, interval coverage, surrogate discrepancy, update abstention, family coverage, tokens, energy where measured, accelerator hours, CPU hours, and total expenditure. Reporting only accepted groups would conceal selection effects; retain the complete generation and verification denominator.</w:t>
      </w:r>
    </w:p>
    <w:p>
      <w:pPr/>
      <w:r>
        <w:t>At least three training seeds are a proposed starting point, subject to the budget. Approximately 1,000 sealed tasks across at least 100 roots or families is a design starting point rather than a power guarantee. Increase independence and coverage before multiplying near-duplicate variants. Use exact small-instance oracles to audit statistical claims, including cases near reward thresholds and cases that force simulator fallback.</w:t>
      </w:r>
    </w:p>
    <w:p>
      <w:pPr>
        <w:pStyle w:val="Heading2"/>
      </w:pPr>
      <w:r>
        <w:t>6.3 Evidence required for each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Proposed claim</w:t>
            </w:r>
          </w:p>
        </w:tc>
        <w:tc>
          <w:tcPr>
            <w:tcW w:type="dxa" w:w="3816"/>
            <w:vAlign w:val="center"/>
            <w:shd w:fill="DCE6EF"/>
          </w:tcPr>
          <w:p>
            <w:pPr>
              <w:pStyle w:val="TableText"/>
            </w:pPr>
            <w:r>
              <w:rPr>
                <w:b/>
                <w:color w:val="000000"/>
              </w:rPr>
              <w:t>Required result</w:t>
            </w:r>
          </w:p>
        </w:tc>
        <w:tc>
          <w:tcPr>
            <w:tcW w:type="dxa" w:w="3888"/>
            <w:vAlign w:val="center"/>
            <w:shd w:fill="DCE6EF"/>
          </w:tcPr>
          <w:p>
            <w:pPr>
              <w:pStyle w:val="TableText"/>
            </w:pPr>
            <w:r>
              <w:rPr>
                <w:b/>
                <w:color w:val="000000"/>
              </w:rPr>
              <w:t>Claim to withhold if absent</w:t>
            </w:r>
          </w:p>
        </w:tc>
      </w:tr>
      <w:tr>
        <w:trPr>
          <w:cantSplit/>
        </w:trPr>
        <w:tc>
          <w:tcPr>
            <w:tcW w:type="dxa" w:w="2376"/>
            <w:vAlign w:val="center"/>
          </w:tcPr>
          <w:p>
            <w:pPr>
              <w:pStyle w:val="TableText"/>
            </w:pPr>
            <w:r>
              <w:t>Better verification efficiency</w:t>
            </w:r>
          </w:p>
        </w:tc>
        <w:tc>
          <w:tcPr>
            <w:tcW w:type="dxa" w:w="3816"/>
            <w:vAlign w:val="center"/>
          </w:tcPr>
          <w:p>
            <w:pPr>
              <w:pStyle w:val="TableText"/>
            </w:pPr>
            <w:r>
              <w:t>Lower measured total verification cost at matched accuracy and coverage</w:t>
            </w:r>
          </w:p>
        </w:tc>
        <w:tc>
          <w:tcPr>
            <w:tcW w:type="dxa" w:w="3888"/>
            <w:vAlign w:val="center"/>
          </w:tcPr>
          <w:p>
            <w:pPr>
              <w:pStyle w:val="TableText"/>
            </w:pPr>
            <w:r>
              <w:t>General superiority from a faster easy-task subset</w:t>
            </w:r>
          </w:p>
        </w:tc>
      </w:tr>
      <w:tr>
        <w:trPr>
          <w:cantSplit/>
        </w:trPr>
        <w:tc>
          <w:tcPr>
            <w:tcW w:type="dxa" w:w="2376"/>
            <w:vAlign w:val="center"/>
            <w:shd w:fill="F5F7F9"/>
          </w:tcPr>
          <w:p>
            <w:pPr>
              <w:pStyle w:val="TableText"/>
            </w:pPr>
            <w:r>
              <w:t>Safer training coefficients</w:t>
            </w:r>
          </w:p>
        </w:tc>
        <w:tc>
          <w:tcPr>
            <w:tcW w:type="dxa" w:w="3816"/>
            <w:vAlign w:val="center"/>
            <w:shd w:fill="F5F7F9"/>
          </w:tcPr>
          <w:p>
            <w:pPr>
              <w:pStyle w:val="TableText"/>
            </w:pPr>
            <w:r>
              <w:t>Valid simultaneous coverage and fewer incorrect nonzero signs</w:t>
            </w:r>
          </w:p>
        </w:tc>
        <w:tc>
          <w:tcPr>
            <w:tcW w:type="dxa" w:w="3888"/>
            <w:vAlign w:val="center"/>
            <w:shd w:fill="F5F7F9"/>
          </w:tcPr>
          <w:p>
            <w:pPr>
              <w:pStyle w:val="TableText"/>
            </w:pPr>
            <w:r>
              <w:t>Unbiased gradients or guaranteed learning improvement</w:t>
            </w:r>
          </w:p>
        </w:tc>
      </w:tr>
      <w:tr>
        <w:trPr>
          <w:cantSplit/>
        </w:trPr>
        <w:tc>
          <w:tcPr>
            <w:tcW w:type="dxa" w:w="2376"/>
            <w:vAlign w:val="center"/>
          </w:tcPr>
          <w:p>
            <w:pPr>
              <w:pStyle w:val="TableText"/>
            </w:pPr>
            <w:r>
              <w:t>Better contextual semantics</w:t>
            </w:r>
          </w:p>
        </w:tc>
        <w:tc>
          <w:tcPr>
            <w:tcW w:type="dxa" w:w="3816"/>
            <w:vAlign w:val="center"/>
          </w:tcPr>
          <w:p>
            <w:pPr>
              <w:pStyle w:val="TableText"/>
            </w:pPr>
            <w:r>
              <w:t>Higher paired accuracy on unseen root/context combinations</w:t>
            </w:r>
          </w:p>
        </w:tc>
        <w:tc>
          <w:tcPr>
            <w:tcW w:type="dxa" w:w="3888"/>
            <w:vAlign w:val="center"/>
          </w:tcPr>
          <w:p>
            <w:pPr>
              <w:pStyle w:val="TableText"/>
            </w:pPr>
            <w:r>
              <w:t>General quantum reasoning from familiar mutants</w:t>
            </w:r>
          </w:p>
        </w:tc>
      </w:tr>
      <w:tr>
        <w:trPr>
          <w:cantSplit/>
        </w:trPr>
        <w:tc>
          <w:tcPr>
            <w:tcW w:type="dxa" w:w="2376"/>
            <w:vAlign w:val="center"/>
            <w:shd w:fill="F5F7F9"/>
          </w:tcPr>
          <w:p>
            <w:pPr>
              <w:pStyle w:val="TableText"/>
            </w:pPr>
            <w:r>
              <w:t>Transferable witnesses</w:t>
            </w:r>
          </w:p>
        </w:tc>
        <w:tc>
          <w:tcPr>
            <w:tcW w:type="dxa" w:w="3816"/>
            <w:vAlign w:val="center"/>
            <w:shd w:fill="F5F7F9"/>
          </w:tcPr>
          <w:p>
            <w:pPr>
              <w:pStyle w:val="TableText"/>
            </w:pPr>
            <w:r>
              <w:t>Gains beyond matched repair guidance across held-out representations</w:t>
            </w:r>
          </w:p>
        </w:tc>
        <w:tc>
          <w:tcPr>
            <w:tcW w:type="dxa" w:w="3888"/>
            <w:vAlign w:val="center"/>
            <w:shd w:fill="F5F7F9"/>
          </w:tcPr>
          <w:p>
            <w:pPr>
              <w:pStyle w:val="TableText"/>
            </w:pPr>
            <w:r>
              <w:t>A new distillation paradigm from ordinary successful-trace SFT</w:t>
            </w:r>
          </w:p>
        </w:tc>
      </w:tr>
      <w:tr>
        <w:trPr>
          <w:cantSplit/>
        </w:trPr>
        <w:tc>
          <w:tcPr>
            <w:tcW w:type="dxa" w:w="2376"/>
            <w:vAlign w:val="center"/>
          </w:tcPr>
          <w:p>
            <w:pPr>
              <w:pStyle w:val="TableText"/>
            </w:pPr>
            <w:r>
              <w:t>Better quantum model</w:t>
            </w:r>
          </w:p>
        </w:tc>
        <w:tc>
          <w:tcPr>
            <w:tcW w:type="dxa" w:w="3816"/>
            <w:vAlign w:val="center"/>
          </w:tcPr>
          <w:p>
            <w:pPr>
              <w:pStyle w:val="TableText"/>
            </w:pPr>
            <w:r>
              <w:t>Separate science and coding gains over a matched official baseline</w:t>
            </w:r>
          </w:p>
        </w:tc>
        <w:tc>
          <w:tcPr>
            <w:tcW w:type="dxa" w:w="3888"/>
            <w:vAlign w:val="center"/>
          </w:tcPr>
          <w:p>
            <w:pPr>
              <w:pStyle w:val="TableText"/>
            </w:pPr>
            <w:r>
              <w:t>Broad scientific improvement from one SDK benchmark</w:t>
            </w:r>
          </w:p>
        </w:tc>
      </w:tr>
    </w:tbl>
    <w:p>
      <w:pPr>
        <w:spacing w:after="40" w:before="0" w:line="240" w:lineRule="auto"/>
      </w:pPr>
      <w:r>
        <w:rPr>
          <w:sz w:val="4"/>
        </w:rPr>
      </w:r>
    </w:p>
    <w:p>
      <w:pPr/>
      <w:r>
        <w:t xml:space="preserve">Prepare plots only from measured results: cost–accuracy frontiers, coverage versus confidence budget, predicted versus observed surrogate discrepancy, per-family semantic errors, ablations, and training stability. Mark unrun cells </w:t>
      </w:r>
      <w:r>
        <w:rPr>
          <w:rFonts w:ascii="DejaVu Sans Mono" w:hAnsi="DejaVu Sans Mono" w:eastAsia="DejaVu Sans"/>
          <w:sz w:val="17"/>
        </w:rPr>
        <w:t>NOT MEASURED</w:t>
      </w:r>
      <w:r>
        <w:t>. No performance chart should be populated with a guessed response to group size or reward weight.</w:t>
      </w:r>
    </w:p>
    <w:p>
      <w:pPr>
        <w:pStyle w:val="Heading2"/>
      </w:pPr>
      <w:r>
        <w:t>6.4 Manuscript and release plan</w:t>
      </w:r>
    </w:p>
    <w:p>
      <w:pPr/>
      <w:r>
        <w:t>Maintain a related-work ledger with citation, exact overlapping mechanism, implementation availability, and the remaining delta. The introduction should state the verification bottleneck and the specific group-level decision problem. Methods should separate mathematical guarantees, scheduling heuristics, and implementation choices. Results should include negative findings and overhead, followed by limits on scale, simulation assumptions, and generalization.</w:t>
      </w:r>
    </w:p>
    <w:p>
      <w:pPr/>
      <w:r>
        <w:t>A publication package should contain frozen source, dependency locks, task generators, lawful distributable data or reconstruction scripts, candidate pools, evidence ledgers, raw scores, statistical analysis, and artifact hashes. Preserve a private sealed test until model selection is complete, then publish an appropriate release version with its evaluation protocol. Novelty and venue fit must be reassessed against the literature available at submission. Choose an ML venue if the learning mechanism dominates, a software-engineering venue if contextual correctness and the benchmark dominate, or a quantum-software venue if the strongest result concerns synthesis and verification.</w:t>
      </w:r>
    </w:p>
    <w:p>
      <w:pPr>
        <w:pStyle w:val="Heading1"/>
      </w:pPr>
      <w:r>
        <w:t>7 Capability scope and evidence levels</w:t>
      </w:r>
    </w:p>
    <w:p>
      <w:pPr>
        <w:pStyle w:val="Heading2"/>
      </w:pPr>
      <w:r>
        <w:t>7.1 Science and programming coverage</w:t>
      </w:r>
    </w:p>
    <w:p>
      <w:pPr/>
      <w:r>
        <w:t>Science tasks must cover definitions, assumptions, derivations, counterexamples, approximation limits, and evidence quality. A correct answer may refute the premise. Open problems can generate subquestions, experiments, and conjectures, but they do not receive positive labels from an LLM's assertion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Capability family</w:t>
            </w:r>
          </w:p>
        </w:tc>
        <w:tc>
          <w:tcPr>
            <w:tcW w:type="dxa" w:w="3816"/>
            <w:vAlign w:val="center"/>
            <w:shd w:fill="DCE6EF"/>
          </w:tcPr>
          <w:p>
            <w:pPr>
              <w:pStyle w:val="TableText"/>
            </w:pPr>
            <w:r>
              <w:rPr>
                <w:b/>
                <w:color w:val="000000"/>
              </w:rPr>
              <w:t>Example tasks</w:t>
            </w:r>
          </w:p>
        </w:tc>
        <w:tc>
          <w:tcPr>
            <w:tcW w:type="dxa" w:w="3888"/>
            <w:vAlign w:val="center"/>
            <w:shd w:fill="DCE6EF"/>
          </w:tcPr>
          <w:p>
            <w:pPr>
              <w:pStyle w:val="TableText"/>
            </w:pPr>
            <w:r>
              <w:rPr>
                <w:b/>
                <w:color w:val="000000"/>
              </w:rPr>
              <w:t>Main evidence</w:t>
            </w:r>
          </w:p>
        </w:tc>
      </w:tr>
      <w:tr>
        <w:trPr>
          <w:cantSplit/>
        </w:trPr>
        <w:tc>
          <w:tcPr>
            <w:tcW w:type="dxa" w:w="2376"/>
            <w:vAlign w:val="center"/>
          </w:tcPr>
          <w:p>
            <w:pPr>
              <w:pStyle w:val="TableText"/>
            </w:pPr>
            <w:r>
              <w:t>Operators and linear algebra</w:t>
            </w:r>
          </w:p>
        </w:tc>
        <w:tc>
          <w:tcPr>
            <w:tcW w:type="dxa" w:w="3816"/>
            <w:vAlign w:val="center"/>
          </w:tcPr>
          <w:p>
            <w:pPr>
              <w:pStyle w:val="TableText"/>
            </w:pPr>
            <w:r>
              <w:t>Tensor indices, partial trace, Pauli identities</w:t>
            </w:r>
          </w:p>
        </w:tc>
        <w:tc>
          <w:tcPr>
            <w:tcW w:type="dxa" w:w="3888"/>
            <w:vAlign w:val="center"/>
          </w:tcPr>
          <w:p>
            <w:pPr>
              <w:pStyle w:val="TableText"/>
            </w:pPr>
            <w:r>
              <w:t>Exact symbolic checks and finite-dimensional proofs</w:t>
            </w:r>
          </w:p>
        </w:tc>
      </w:tr>
      <w:tr>
        <w:trPr>
          <w:cantSplit/>
        </w:trPr>
        <w:tc>
          <w:tcPr>
            <w:tcW w:type="dxa" w:w="2376"/>
            <w:vAlign w:val="center"/>
            <w:shd w:fill="F5F7F9"/>
          </w:tcPr>
          <w:p>
            <w:pPr>
              <w:pStyle w:val="TableText"/>
            </w:pPr>
            <w:r>
              <w:t>Quantum information</w:t>
            </w:r>
          </w:p>
        </w:tc>
        <w:tc>
          <w:tcPr>
            <w:tcW w:type="dxa" w:w="3816"/>
            <w:vAlign w:val="center"/>
            <w:shd w:fill="F5F7F9"/>
          </w:tcPr>
          <w:p>
            <w:pPr>
              <w:pStyle w:val="TableText"/>
            </w:pPr>
            <w:r>
              <w:t>Entropy, trace distance, channels, entanglement</w:t>
            </w:r>
          </w:p>
        </w:tc>
        <w:tc>
          <w:tcPr>
            <w:tcW w:type="dxa" w:w="3888"/>
            <w:vAlign w:val="center"/>
            <w:shd w:fill="F5F7F9"/>
          </w:tcPr>
          <w:p>
            <w:pPr>
              <w:pStyle w:val="TableText"/>
            </w:pPr>
            <w:r>
              <w:t>Audited assumptions, proofs, and small counterexamples</w:t>
            </w:r>
          </w:p>
        </w:tc>
      </w:tr>
      <w:tr>
        <w:trPr>
          <w:cantSplit/>
        </w:trPr>
        <w:tc>
          <w:tcPr>
            <w:tcW w:type="dxa" w:w="2376"/>
            <w:vAlign w:val="center"/>
          </w:tcPr>
          <w:p>
            <w:pPr>
              <w:pStyle w:val="TableText"/>
            </w:pPr>
            <w:r>
              <w:t>Algorithms</w:t>
            </w:r>
          </w:p>
        </w:tc>
        <w:tc>
          <w:tcPr>
            <w:tcW w:type="dxa" w:w="3816"/>
            <w:vAlign w:val="center"/>
          </w:tcPr>
          <w:p>
            <w:pPr>
              <w:pStyle w:val="TableText"/>
            </w:pPr>
            <w:r>
              <w:t>QFT, QPE, Grover, amplitude estimation</w:t>
            </w:r>
          </w:p>
        </w:tc>
        <w:tc>
          <w:tcPr>
            <w:tcW w:type="dxa" w:w="3888"/>
            <w:vAlign w:val="center"/>
          </w:tcPr>
          <w:p>
            <w:pPr>
              <w:pStyle w:val="TableText"/>
            </w:pPr>
            <w:r>
              <w:t>Input/output semantics and query constraints</w:t>
            </w:r>
          </w:p>
        </w:tc>
      </w:tr>
      <w:tr>
        <w:trPr>
          <w:cantSplit/>
        </w:trPr>
        <w:tc>
          <w:tcPr>
            <w:tcW w:type="dxa" w:w="2376"/>
            <w:vAlign w:val="center"/>
            <w:shd w:fill="F5F7F9"/>
          </w:tcPr>
          <w:p>
            <w:pPr>
              <w:pStyle w:val="TableText"/>
            </w:pPr>
            <w:r>
              <w:t>Dynamics and open systems</w:t>
            </w:r>
          </w:p>
        </w:tc>
        <w:tc>
          <w:tcPr>
            <w:tcW w:type="dxa" w:w="3816"/>
            <w:vAlign w:val="center"/>
            <w:shd w:fill="F5F7F9"/>
          </w:tcPr>
          <w:p>
            <w:pPr>
              <w:pStyle w:val="TableText"/>
            </w:pPr>
            <w:r>
              <w:t>Trotter error, Lindblad dynamics, conservation</w:t>
            </w:r>
          </w:p>
        </w:tc>
        <w:tc>
          <w:tcPr>
            <w:tcW w:type="dxa" w:w="3888"/>
            <w:vAlign w:val="center"/>
            <w:shd w:fill="F5F7F9"/>
          </w:tcPr>
          <w:p>
            <w:pPr>
              <w:pStyle w:val="TableText"/>
            </w:pPr>
            <w:r>
              <w:t>Analytic identities, convergence, and channel validity</w:t>
            </w:r>
          </w:p>
        </w:tc>
      </w:tr>
      <w:tr>
        <w:trPr>
          <w:cantSplit/>
        </w:trPr>
        <w:tc>
          <w:tcPr>
            <w:tcW w:type="dxa" w:w="2376"/>
            <w:vAlign w:val="center"/>
          </w:tcPr>
          <w:p>
            <w:pPr>
              <w:pStyle w:val="TableText"/>
            </w:pPr>
            <w:r>
              <w:t>Error correction</w:t>
            </w:r>
          </w:p>
        </w:tc>
        <w:tc>
          <w:tcPr>
            <w:tcW w:type="dxa" w:w="3816"/>
            <w:vAlign w:val="center"/>
          </w:tcPr>
          <w:p>
            <w:pPr>
              <w:pStyle w:val="TableText"/>
            </w:pPr>
            <w:r>
              <w:t>Stabilizers, logical operators, decoding</w:t>
            </w:r>
          </w:p>
        </w:tc>
        <w:tc>
          <w:tcPr>
            <w:tcW w:type="dxa" w:w="3888"/>
            <w:vAlign w:val="center"/>
          </w:tcPr>
          <w:p>
            <w:pPr>
              <w:pStyle w:val="TableText"/>
            </w:pPr>
            <w:r>
              <w:t>Commutation, code certificates, and statistical intervals</w:t>
            </w:r>
          </w:p>
        </w:tc>
      </w:tr>
      <w:tr>
        <w:trPr>
          <w:cantSplit/>
        </w:trPr>
        <w:tc>
          <w:tcPr>
            <w:tcW w:type="dxa" w:w="2376"/>
            <w:vAlign w:val="center"/>
            <w:shd w:fill="F5F7F9"/>
          </w:tcPr>
          <w:p>
            <w:pPr>
              <w:pStyle w:val="TableText"/>
            </w:pPr>
            <w:r>
              <w:t>Variational algorithms</w:t>
            </w:r>
          </w:p>
        </w:tc>
        <w:tc>
          <w:tcPr>
            <w:tcW w:type="dxa" w:w="3816"/>
            <w:vAlign w:val="center"/>
            <w:shd w:fill="F5F7F9"/>
          </w:tcPr>
          <w:p>
            <w:pPr>
              <w:pStyle w:val="TableText"/>
            </w:pPr>
            <w:r>
              <w:t>VQE, QAOA, gradients, sampling</w:t>
            </w:r>
          </w:p>
        </w:tc>
        <w:tc>
          <w:tcPr>
            <w:tcW w:type="dxa" w:w="3888"/>
            <w:vAlign w:val="center"/>
            <w:shd w:fill="F5F7F9"/>
          </w:tcPr>
          <w:p>
            <w:pPr>
              <w:pStyle w:val="TableText"/>
            </w:pPr>
            <w:r>
              <w:t>Gradient checks, energy estimates, and classical baselines</w:t>
            </w:r>
          </w:p>
        </w:tc>
      </w:tr>
      <w:tr>
        <w:trPr>
          <w:cantSplit/>
        </w:trPr>
        <w:tc>
          <w:tcPr>
            <w:tcW w:type="dxa" w:w="2376"/>
            <w:vAlign w:val="center"/>
          </w:tcPr>
          <w:p>
            <w:pPr>
              <w:pStyle w:val="TableText"/>
            </w:pPr>
            <w:r>
              <w:t>Research analysis</w:t>
            </w:r>
          </w:p>
        </w:tc>
        <w:tc>
          <w:tcPr>
            <w:tcW w:type="dxa" w:w="3816"/>
            <w:vAlign w:val="center"/>
          </w:tcPr>
          <w:p>
            <w:pPr>
              <w:pStyle w:val="TableText"/>
            </w:pPr>
            <w:r>
              <w:t>Reproduction, experimental design, assumptions</w:t>
            </w:r>
          </w:p>
        </w:tc>
        <w:tc>
          <w:tcPr>
            <w:tcW w:type="dxa" w:w="3888"/>
            <w:vAlign w:val="center"/>
          </w:tcPr>
          <w:p>
            <w:pPr>
              <w:pStyle w:val="TableText"/>
            </w:pPr>
            <w:r>
              <w:t>Reproducible artifacts and independent expert review</w:t>
            </w:r>
          </w:p>
        </w:tc>
      </w:tr>
      <w:tr>
        <w:trPr>
          <w:cantSplit/>
        </w:trPr>
        <w:tc>
          <w:tcPr>
            <w:tcW w:type="dxa" w:w="2376"/>
            <w:vAlign w:val="center"/>
            <w:shd w:fill="F5F7F9"/>
          </w:tcPr>
          <w:p>
            <w:pPr>
              <w:pStyle w:val="TableText"/>
            </w:pPr>
            <w:r>
              <w:t>Software engineering</w:t>
            </w:r>
          </w:p>
        </w:tc>
        <w:tc>
          <w:tcPr>
            <w:tcW w:type="dxa" w:w="3816"/>
            <w:vAlign w:val="center"/>
            <w:shd w:fill="F5F7F9"/>
          </w:tcPr>
          <w:p>
            <w:pPr>
              <w:pStyle w:val="TableText"/>
            </w:pPr>
            <w:r>
              <w:t>Generation, repair, translation, small projects</w:t>
            </w:r>
          </w:p>
        </w:tc>
        <w:tc>
          <w:tcPr>
            <w:tcW w:type="dxa" w:w="3888"/>
            <w:vAlign w:val="center"/>
            <w:shd w:fill="F5F7F9"/>
          </w:tcPr>
          <w:p>
            <w:pPr>
              <w:pStyle w:val="TableText"/>
            </w:pPr>
            <w:r>
              <w:t>Isolated execution and independent semantic tests</w:t>
            </w:r>
          </w:p>
        </w:tc>
      </w:tr>
    </w:tbl>
    <w:p>
      <w:pPr>
        <w:spacing w:after="40" w:before="0" w:line="240" w:lineRule="auto"/>
      </w:pPr>
      <w:r>
        <w:rPr>
          <w:sz w:val="4"/>
        </w:rPr>
      </w:r>
    </w:p>
    <w:p>
      <w:pPr/>
      <w:r>
        <w:t>Initially support Qiskit, MindQuantum, PennyLane, and a declared OpenQASM 3 subset. Resolve MindQuantum's actual package version and interfaces. Add Cirq, Q#, or QIR only with explicit adapter tests. Include English and Chinese task slices to preserve application coverage; the specification and its technical documentation are written in English. [S8–S10, S23]</w:t>
      </w:r>
    </w:p>
    <w:p>
      <w:pPr>
        <w:pStyle w:val="Heading2"/>
      </w:pPr>
      <w:r>
        <w:t>7.2 Evidence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Evidence level</w:t>
            </w:r>
          </w:p>
        </w:tc>
        <w:tc>
          <w:tcPr>
            <w:tcW w:type="dxa" w:w="3816"/>
            <w:vAlign w:val="center"/>
            <w:shd w:fill="DCE6EF"/>
          </w:tcPr>
          <w:p>
            <w:pPr>
              <w:pStyle w:val="TableText"/>
            </w:pPr>
            <w:r>
              <w:rPr>
                <w:b/>
                <w:color w:val="000000"/>
              </w:rPr>
              <w:t>Meaning</w:t>
            </w:r>
          </w:p>
        </w:tc>
        <w:tc>
          <w:tcPr>
            <w:tcW w:type="dxa" w:w="3888"/>
            <w:vAlign w:val="center"/>
            <w:shd w:fill="DCE6EF"/>
          </w:tcPr>
          <w:p>
            <w:pPr>
              <w:pStyle w:val="TableText"/>
            </w:pPr>
            <w:r>
              <w:rPr>
                <w:b/>
                <w:color w:val="000000"/>
              </w:rPr>
              <w:t>Supported conclusion</w:t>
            </w:r>
          </w:p>
        </w:tc>
      </w:tr>
      <w:tr>
        <w:trPr>
          <w:cantSplit/>
        </w:trPr>
        <w:tc>
          <w:tcPr>
            <w:tcW w:type="dxa" w:w="2376"/>
            <w:vAlign w:val="center"/>
          </w:tcPr>
          <w:p>
            <w:pPr>
              <w:pStyle w:val="TableText"/>
            </w:pPr>
            <w:r>
              <w:t>FORMAL</w:t>
            </w:r>
          </w:p>
        </w:tc>
        <w:tc>
          <w:tcPr>
            <w:tcW w:type="dxa" w:w="3816"/>
            <w:vAlign w:val="center"/>
          </w:tcPr>
          <w:p>
            <w:pPr>
              <w:pStyle w:val="TableText"/>
            </w:pPr>
            <w:r>
              <w:t>Trusted theorem and proof replay with dependency audit</w:t>
            </w:r>
          </w:p>
        </w:tc>
        <w:tc>
          <w:tcPr>
            <w:tcW w:type="dxa" w:w="3888"/>
            <w:vAlign w:val="center"/>
          </w:tcPr>
          <w:p>
            <w:pPr>
              <w:pStyle w:val="TableText"/>
            </w:pPr>
            <w:r>
              <w:t>The encoded statement holds in the declared logic</w:t>
            </w:r>
          </w:p>
        </w:tc>
      </w:tr>
      <w:tr>
        <w:trPr>
          <w:cantSplit/>
        </w:trPr>
        <w:tc>
          <w:tcPr>
            <w:tcW w:type="dxa" w:w="2376"/>
            <w:vAlign w:val="center"/>
            <w:shd w:fill="F5F7F9"/>
          </w:tcPr>
          <w:p>
            <w:pPr>
              <w:pStyle w:val="TableText"/>
            </w:pPr>
            <w:r>
              <w:t>STRUCTURAL</w:t>
            </w:r>
          </w:p>
        </w:tc>
        <w:tc>
          <w:tcPr>
            <w:tcW w:type="dxa" w:w="3816"/>
            <w:vAlign w:val="center"/>
            <w:shd w:fill="F5F7F9"/>
          </w:tcPr>
          <w:p>
            <w:pPr>
              <w:pStyle w:val="TableText"/>
            </w:pPr>
            <w:r>
              <w:t>Replayable identities, tableaux, or rewrite certificates</w:t>
            </w:r>
          </w:p>
        </w:tc>
        <w:tc>
          <w:tcPr>
            <w:tcW w:type="dxa" w:w="3888"/>
            <w:vAlign w:val="center"/>
            <w:shd w:fill="F5F7F9"/>
          </w:tcPr>
          <w:p>
            <w:pPr>
              <w:pStyle w:val="TableText"/>
            </w:pPr>
            <w:r>
              <w:t>Equivalence within the certificate's scope</w:t>
            </w:r>
          </w:p>
        </w:tc>
      </w:tr>
      <w:tr>
        <w:trPr>
          <w:cantSplit/>
        </w:trPr>
        <w:tc>
          <w:tcPr>
            <w:tcW w:type="dxa" w:w="2376"/>
            <w:vAlign w:val="center"/>
          </w:tcPr>
          <w:p>
            <w:pPr>
              <w:pStyle w:val="TableText"/>
            </w:pPr>
            <w:r>
              <w:t>NUMERICAL</w:t>
            </w:r>
          </w:p>
        </w:tc>
        <w:tc>
          <w:tcPr>
            <w:tcW w:type="dxa" w:w="3816"/>
            <w:vAlign w:val="center"/>
          </w:tcPr>
          <w:p>
            <w:pPr>
              <w:pStyle w:val="TableText"/>
            </w:pPr>
            <w:r>
              <w:t>Complete finite computation at declared precision</w:t>
            </w:r>
          </w:p>
        </w:tc>
        <w:tc>
          <w:tcPr>
            <w:tcW w:type="dxa" w:w="3888"/>
            <w:vAlign w:val="center"/>
          </w:tcPr>
          <w:p>
            <w:pPr>
              <w:pStyle w:val="TableText"/>
            </w:pPr>
            <w:r>
              <w:t>Numerical correctness for that finite instance</w:t>
            </w:r>
          </w:p>
        </w:tc>
      </w:tr>
      <w:tr>
        <w:trPr>
          <w:cantSplit/>
        </w:trPr>
        <w:tc>
          <w:tcPr>
            <w:tcW w:type="dxa" w:w="2376"/>
            <w:vAlign w:val="center"/>
            <w:shd w:fill="F5F7F9"/>
          </w:tcPr>
          <w:p>
            <w:pPr>
              <w:pStyle w:val="TableText"/>
            </w:pPr>
            <w:r>
              <w:t>STATISTICAL</w:t>
            </w:r>
          </w:p>
        </w:tc>
        <w:tc>
          <w:tcPr>
            <w:tcW w:type="dxa" w:w="3816"/>
            <w:vAlign w:val="center"/>
            <w:shd w:fill="F5F7F9"/>
          </w:tcPr>
          <w:p>
            <w:pPr>
              <w:pStyle w:val="TableText"/>
            </w:pPr>
            <w:r>
              <w:t>Valid fixed-sample or sequential inference</w:t>
            </w:r>
          </w:p>
        </w:tc>
        <w:tc>
          <w:tcPr>
            <w:tcW w:type="dxa" w:w="3888"/>
            <w:vAlign w:val="center"/>
            <w:shd w:fill="F5F7F9"/>
          </w:tcPr>
          <w:p>
            <w:pPr>
              <w:pStyle w:val="TableText"/>
            </w:pPr>
            <w:r>
              <w:t>A stated confidence claim under its sampling assumptions</w:t>
            </w:r>
          </w:p>
        </w:tc>
      </w:tr>
      <w:tr>
        <w:trPr>
          <w:cantSplit/>
        </w:trPr>
        <w:tc>
          <w:tcPr>
            <w:tcW w:type="dxa" w:w="2376"/>
            <w:vAlign w:val="center"/>
          </w:tcPr>
          <w:p>
            <w:pPr>
              <w:pStyle w:val="TableText"/>
            </w:pPr>
            <w:r>
              <w:t>APPROXIMATE</w:t>
            </w:r>
          </w:p>
        </w:tc>
        <w:tc>
          <w:tcPr>
            <w:tcW w:type="dxa" w:w="3816"/>
            <w:vAlign w:val="center"/>
          </w:tcPr>
          <w:p>
            <w:pPr>
              <w:pStyle w:val="TableText"/>
            </w:pPr>
            <w:r>
              <w:t>Truncated or heuristic computation with error reporting</w:t>
            </w:r>
          </w:p>
        </w:tc>
        <w:tc>
          <w:tcPr>
            <w:tcW w:type="dxa" w:w="3888"/>
            <w:vAlign w:val="center"/>
          </w:tcPr>
          <w:p>
            <w:pPr>
              <w:pStyle w:val="TableText"/>
            </w:pPr>
            <w:r>
              <w:t>An estimate within its stated limitations</w:t>
            </w:r>
          </w:p>
        </w:tc>
      </w:tr>
      <w:tr>
        <w:trPr>
          <w:cantSplit/>
        </w:trPr>
        <w:tc>
          <w:tcPr>
            <w:tcW w:type="dxa" w:w="2376"/>
            <w:vAlign w:val="center"/>
            <w:shd w:fill="F5F7F9"/>
          </w:tcPr>
          <w:p>
            <w:pPr>
              <w:pStyle w:val="TableText"/>
            </w:pPr>
            <w:r>
              <w:t>UNVERIFIED</w:t>
            </w:r>
          </w:p>
        </w:tc>
        <w:tc>
          <w:tcPr>
            <w:tcW w:type="dxa" w:w="3816"/>
            <w:vAlign w:val="center"/>
            <w:shd w:fill="F5F7F9"/>
          </w:tcPr>
          <w:p>
            <w:pPr>
              <w:pStyle w:val="TableText"/>
            </w:pPr>
            <w:r>
              <w:t>Insufficient evidence or language-only assessment</w:t>
            </w:r>
          </w:p>
        </w:tc>
        <w:tc>
          <w:tcPr>
            <w:tcW w:type="dxa" w:w="3888"/>
            <w:vAlign w:val="center"/>
            <w:shd w:fill="F5F7F9"/>
          </w:tcPr>
          <w:p>
            <w:pPr>
              <w:pStyle w:val="TableText"/>
            </w:pPr>
            <w:r>
              <w:t>A research candidate rather than a strict pass</w:t>
            </w:r>
          </w:p>
        </w:tc>
      </w:tr>
    </w:tbl>
    <w:p>
      <w:pPr>
        <w:spacing w:after="40" w:before="0" w:line="240" w:lineRule="auto"/>
      </w:pPr>
      <w:r>
        <w:rPr>
          <w:sz w:val="4"/>
        </w:rPr>
      </w:r>
    </w:p>
    <w:p>
      <w:pPr/>
      <w:r>
        <w:t xml:space="preserve">Task contracts specify acceptable methods, not just a nominal rank. A statistical interval cannot replace a required formal proof, and a formal proof of a mistranslated theorem does not validate the original scientific claim. Keep execution status </w:t>
      </w:r>
      <w:r>
        <w:rPr>
          <w:rFonts w:ascii="DejaVu Sans Mono" w:hAnsi="DejaVu Sans Mono" w:eastAsia="DejaVu Sans"/>
          <w:sz w:val="17"/>
        </w:rPr>
        <w:t>PASS / FAIL / VOID / UNKNOWN</w:t>
      </w:r>
      <w:r>
        <w:t xml:space="preserve"> separate from evidence level and from any interval-based training coefficient.</w:t>
      </w:r>
    </w:p>
    <w:p>
      <w:pPr>
        <w:pStyle w:val="Heading1"/>
      </w:pPr>
      <w:r>
        <w:t>8 Model and hardware implementation</w:t>
      </w:r>
    </w:p>
    <w:p>
      <w:pPr>
        <w:pStyle w:val="Heading2"/>
      </w:pPr>
      <w:r>
        <w:t>8.1 Model identity and adaptation</w:t>
      </w:r>
    </w:p>
    <w:p>
      <w:pPr/>
      <w:r>
        <w:t xml:space="preserve">Use </w:t>
      </w:r>
      <w:r>
        <w:rPr>
          <w:rFonts w:ascii="DejaVu Sans Mono" w:hAnsi="DejaVu Sans Mono" w:eastAsia="DejaVu Sans"/>
          <w:sz w:val="17"/>
        </w:rPr>
        <w:t>Qwen/Qwen3.6-35B-A3B</w:t>
      </w:r>
      <w:r>
        <w:t xml:space="preserve"> as the official post-trained starting point. Its configuration uses </w:t>
      </w:r>
      <w:r>
        <w:rPr>
          <w:rFonts w:ascii="DejaVu Sans Mono" w:hAnsi="DejaVu Sans Mono" w:eastAsia="DejaVu Sans"/>
          <w:sz w:val="17"/>
        </w:rPr>
        <w:t>qwen3_5_moe</w:t>
      </w:r>
      <w:r>
        <w:t xml:space="preserve"> and a mixed architecture; inspect the downloaded configuration rather than inferring support from the model name. Pin the immutable revision and hashes for all shards, indices, configuration, tokenizer, processor, and chat template. Existing Qwen3.5 or dense-model results are historical comparisons, not the primary baseline. [S1, S2]</w:t>
      </w:r>
    </w:p>
    <w:p>
      <w:pPr/>
      <w:r>
        <w:t>The first experiment targets text-based science and programming. Freeze visual components and retain a multimodal smoke test. Use a supported text path; do not alter model types or dimensions to suppress loader errors. Enumerate real parameter names and shapes before defining LoRA targets. Fused MoE expert tensors may require parameter-level targeting rather than dense-layer assumptions. [S3]</w:t>
      </w:r>
    </w:p>
    <w:p>
      <w:pPr/>
      <w:r>
        <w:t>Begin with verified attention-projection LoRA, rank 16 or 32, while freezing router, embeddings, output head, and vision modules. Expand trainable components only through ablations. Verify that trainable parameters are nonzero, present in the optimizer, receive finite gradients, and change after an update. A zero-initialized adapter should match the base model within a declared tolerance; a trained adapter must be demonstrably active after reload.</w:t>
      </w:r>
    </w:p>
    <w:p>
      <w:pPr>
        <w:pStyle w:val="Heading2"/>
      </w:pPr>
      <w:r>
        <w:t>8.2 Compatibility gates</w:t>
      </w:r>
    </w:p>
    <w:p>
      <w:pPr>
        <w:ind w:left="288" w:hanging="288"/>
      </w:pPr>
      <w:r>
        <w:t>1. Discover the real node: accelerator type/count/memory, CPU architecture, interconnect, storage, driver, and queue availability. Historical 8–16 device configurations are planning profiles only.</w:t>
      </w:r>
    </w:p>
    <w:p>
      <w:pPr>
        <w:ind w:left="288" w:hanging="288"/>
      </w:pPr>
      <w:r>
        <w:t>2. Freeze the PyTorch, Transformers, PEFT, training backend, rollout backend, and driver combination. A historical config version is not a tested dependency lock.</w:t>
      </w:r>
    </w:p>
    <w:p>
      <w:pPr>
        <w:ind w:left="288" w:hanging="288"/>
      </w:pPr>
      <w:r>
        <w:t>3. Run short BF16 inference and check tokenizer, EOS, padding, chat template, and native reasoning mode. Record settings explicitly.</w:t>
      </w:r>
    </w:p>
    <w:p>
      <w:pPr>
        <w:ind w:left="288" w:hanging="288"/>
      </w:pPr>
      <w:r>
        <w:t>4. Run forward, backward, optimizer update, checkpoint, process termination, resume, and evaluation. Check parameter and optimizer-state continuity.</w:t>
      </w:r>
    </w:p>
    <w:p>
      <w:pPr>
        <w:ind w:left="288" w:hanging="288"/>
      </w:pPr>
      <w:r>
        <w:t>5. Test training loading and rollout loading separately, including merged versus dynamic adapters, behavior log probabilities, and weight distribution.</w:t>
      </w:r>
    </w:p>
    <w:p>
      <w:pPr>
        <w:ind w:left="288" w:hanging="288"/>
      </w:pPr>
      <w:r>
        <w:t>6. Load the final artifact in a fresh process. Adapter failure must stop evaluation rather than silently use base weights.</w:t>
      </w:r>
    </w:p>
    <w:p>
      <w:pPr/>
      <w:r>
        <w:t>vLLM-Ascend provides a deployment entry for the target model, but inference support does not establish LoRA training compatibility. A pinned verl/FSDP or Megatron path is a candidate implementation, subject to the same gates. Use one backend for the initial loop. [S4, S5]</w:t>
      </w:r>
    </w:p>
    <w:p>
      <w:pPr>
        <w:pStyle w:val="Heading2"/>
      </w:pPr>
      <w:r>
        <w:t>8.3 Memory and resource policy</w:t>
      </w:r>
    </w:p>
    <w:p>
      <w:pPr/>
      <w:r>
        <w:t>At two bytes per parameter, 35 billion parameters imply approximately 70 GB of raw weights before activations, caches, communication buffers, and runtime overhead. A rough 16-byte-per-parameter full-Adam configuration would require about 560 GB for parameter-related storage before sharding and other costs. Active parameters describe per-token computation, not total weight residency. LoRA reduces trainable state; it does not remove base-model memory.</w:t>
      </w:r>
    </w:p>
    <w:p>
      <w:pPr/>
      <w:r>
        <w:t>Use CPU verification first, a limited-device LoRA profile next, and separated learner/rollout/verifier pools only after measuring the bottleneck. Begin with 4k input and 4k output budgets. Expand to longer contexts only when valuable answers are truncated and measured gains justify the cost. Do not increase group size and context length in the same causal comparison.</w:t>
      </w:r>
    </w:p>
    <w:p>
      <w:pPr/>
      <w:r>
        <w:t>cuQuantum is a CUDA simulator path, not a default Ascend backend. Keep a portable CPU verifier baseline. GPU and NPU deployment profiles must have independent compatibility evidence. Hardware counts, throughput, 95% MFU, and subsecond proof latency are measurements to obtain rather than service guarantees. [S12, S24]</w:t>
      </w:r>
    </w:p>
    <w:p>
      <w:pPr>
        <w:pStyle w:val="Heading1"/>
      </w:pPr>
      <w:r>
        <w:t>9 Three verification tracks</w:t>
      </w:r>
    </w:p>
    <w:p>
      <w:pPr>
        <w:pStyle w:val="Heading2"/>
      </w:pPr>
      <w:r>
        <w:t>9.1 Common trusted interface</w:t>
      </w:r>
    </w:p>
    <w:p>
      <w:pPr/>
      <w:r>
        <w:t>Workers share a task registry, resource router, and result schema. Prewarm immutable dependencies, but isolate each candidate execution in a fresh process or sandbox. Ray and gRPC are options, not mandatory simultaneous dependencies. Use one durable queue and ledger architecture before adding more infrastructure.</w:t>
      </w:r>
    </w:p>
    <w:p>
      <w:pPr/>
      <w:r>
        <w:t>Candidate code can submit a proof body, program, or normalized circuit. Hidden references, tests, reward computation, and signing material remain on the trusted side. Enforce no network, read-only dependencies, a bounded temporary directory, and CPU, memory, PID, output, and wall-time quotas. Kill the entire process tree at hard timeout. Read-only tests alone do not prevent answer reading, monkeypatching, or fabricated output.</w:t>
      </w:r>
    </w:p>
    <w:p>
      <w:pPr>
        <w:pStyle w:val="Heading2"/>
      </w:pPr>
      <w:r>
        <w:t>9.2 Track A Formal and symbolic verification</w:t>
      </w:r>
    </w:p>
    <w:p>
      <w:pPr/>
      <w:r>
        <w:t>Start with finite complex matrices, tensor products, stabilizers, and supported information-theory lemmas. Pin Lean, mathlib, and candidate quantum libraries by commit. Check the actual maturity of each imported module; do not assume a library name implies coverage of advanced quantum theory. Missing definitions require foundational work or a lower evidence classification. [S14–S16]</w:t>
      </w:r>
    </w:p>
    <w:p>
      <w:pPr/>
      <w:r>
        <w:t xml:space="preserve">Fix the theorem type, assumptions, imports, namespace, dependency allowlist, and environment hash. The candidate supplies a proof expression. Compare the elaborated theorem type with the trusted challenge and audit its dependency closure. Reject </w:t>
      </w:r>
      <w:r>
        <w:rPr>
          <w:rFonts w:ascii="DejaVu Sans Mono" w:hAnsi="DejaVu Sans Mono" w:eastAsia="DejaVu Sans"/>
          <w:sz w:val="17"/>
        </w:rPr>
        <w:t>sorryAx</w:t>
      </w:r>
      <w:r>
        <w:t>, unapproved axioms, shadowed definitions, and statement replacement. Explicitly allow any standard logical axioms required by the chosen foundation.</w:t>
      </w:r>
    </w:p>
    <w:p>
      <w:pPr/>
      <w:r>
        <w:t xml:space="preserve">Every proof receiving positive reward must be replayed outside the candidate boundary and checked against the trusted challenge. Tactics, macros, and elaboration can execute metaprograms; candidate build logs and exit codes are not proof certificates. Cache pinned dependencies, not an untrusted claimed result. Precompiled </w:t>
      </w:r>
      <w:r>
        <w:rPr>
          <w:rFonts w:ascii="DejaVu Sans Mono" w:hAnsi="DejaVu Sans Mono" w:eastAsia="DejaVu Sans"/>
          <w:sz w:val="17"/>
        </w:rPr>
        <w:t>.olean</w:t>
      </w:r>
      <w:r>
        <w:t xml:space="preserve"> files may reduce startup cost, but actual latency must be measured. [S14]</w:t>
      </w:r>
    </w:p>
    <w:p>
      <w:pPr/>
      <w:r>
        <w:t>SymPy checks use explicit algebraic assumptions. Random substitution can find a counterexample but cannot prove a general identity. PyZX certificates must preserve supported scalar, boundary, and phase semantics. Failure to simplify means UNKNOWN, not automatically false. Do not reward a decrease in the number of Lean goals; use independently checked, predefined sublemmas only in a separate process-reward experiment. [S13]</w:t>
      </w:r>
    </w:p>
    <w:p>
      <w:pPr>
        <w:pStyle w:val="Heading2"/>
      </w:pPr>
      <w:r>
        <w:t>9.3 Track B Numerical and statistical verification</w:t>
      </w:r>
    </w:p>
    <w:p>
      <w:pPr/>
      <w:r>
        <w:t xml:space="preserve">Route using qubit count, depth, gate structure, measurements, resets, noise, connectivity, requested output object, precision, and certificate requirements. Qubit and T-gate counts alone are insufficient. For complex128 storage, a statevector uses </w:t>
      </w:r>
      <w:r>
        <w:rPr>
          <w:rFonts w:ascii="DejaVu Sans Mono" w:hAnsi="DejaVu Sans Mono" w:eastAsia="DejaVu Sans"/>
          <w:sz w:val="17"/>
        </w:rPr>
        <w:t>16 × 2^n</w:t>
      </w:r>
      <w:r>
        <w:t xml:space="preserve"> bytes, a dense unitary or density matrix uses </w:t>
      </w:r>
      <w:r>
        <w:rPr>
          <w:rFonts w:ascii="DejaVu Sans Mono" w:hAnsi="DejaVu Sans Mono" w:eastAsia="DejaVu Sans"/>
          <w:sz w:val="17"/>
        </w:rPr>
        <w:t>16 × 4^n</w:t>
      </w:r>
      <w:r>
        <w:t xml:space="preserve">, and a generic dense channel Choi matrix uses </w:t>
      </w:r>
      <w:r>
        <w:rPr>
          <w:rFonts w:ascii="DejaVu Sans Mono" w:hAnsi="DejaVu Sans Mono" w:eastAsia="DejaVu Sans"/>
          <w:sz w:val="17"/>
        </w:rPr>
        <w:t>16 × 16^n</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816"/>
        <w:gridCol w:w="2088"/>
        <w:gridCol w:w="2088"/>
        <w:gridCol w:w="2088"/>
      </w:tblGrid>
      <w:tr>
        <w:trPr>
          <w:cantSplit/>
          <w:tblHeader/>
        </w:trPr>
        <w:tc>
          <w:tcPr>
            <w:tcW w:type="dxa" w:w="3816"/>
            <w:vAlign w:val="center"/>
            <w:shd w:fill="DCE6EF"/>
          </w:tcPr>
          <w:p>
            <w:pPr>
              <w:pStyle w:val="TableText"/>
            </w:pPr>
            <w:r>
              <w:rPr>
                <w:b/>
                <w:color w:val="000000"/>
              </w:rPr>
              <w:t>Object</w:t>
            </w:r>
          </w:p>
        </w:tc>
        <w:tc>
          <w:tcPr>
            <w:tcW w:type="dxa" w:w="2088"/>
            <w:vAlign w:val="center"/>
            <w:shd w:fill="DCE6EF"/>
          </w:tcPr>
          <w:p>
            <w:pPr>
              <w:pStyle w:val="TableText"/>
            </w:pPr>
            <w:r>
              <w:rPr>
                <w:b/>
                <w:color w:val="000000"/>
              </w:rPr>
              <w:t>8 qubits</w:t>
            </w:r>
          </w:p>
        </w:tc>
        <w:tc>
          <w:tcPr>
            <w:tcW w:type="dxa" w:w="2088"/>
            <w:vAlign w:val="center"/>
            <w:shd w:fill="DCE6EF"/>
          </w:tcPr>
          <w:p>
            <w:pPr>
              <w:pStyle w:val="TableText"/>
            </w:pPr>
            <w:r>
              <w:rPr>
                <w:b/>
                <w:color w:val="000000"/>
              </w:rPr>
              <w:t>12 qubits</w:t>
            </w:r>
          </w:p>
        </w:tc>
        <w:tc>
          <w:tcPr>
            <w:tcW w:type="dxa" w:w="2088"/>
            <w:vAlign w:val="center"/>
            <w:shd w:fill="DCE6EF"/>
          </w:tcPr>
          <w:p>
            <w:pPr>
              <w:pStyle w:val="TableText"/>
            </w:pPr>
            <w:r>
              <w:rPr>
                <w:b/>
                <w:color w:val="000000"/>
              </w:rPr>
              <w:t>18 qubits</w:t>
            </w:r>
          </w:p>
        </w:tc>
      </w:tr>
      <w:tr>
        <w:trPr>
          <w:cantSplit/>
        </w:trPr>
        <w:tc>
          <w:tcPr>
            <w:tcW w:type="dxa" w:w="3816"/>
            <w:vAlign w:val="center"/>
          </w:tcPr>
          <w:p>
            <w:pPr>
              <w:pStyle w:val="TableText"/>
            </w:pPr>
            <w:r>
              <w:t>Statevector</w:t>
            </w:r>
          </w:p>
        </w:tc>
        <w:tc>
          <w:tcPr>
            <w:tcW w:type="dxa" w:w="2088"/>
            <w:vAlign w:val="center"/>
          </w:tcPr>
          <w:p>
            <w:pPr>
              <w:pStyle w:val="TableText"/>
            </w:pPr>
            <w:r>
              <w:t>4 KiB</w:t>
            </w:r>
          </w:p>
        </w:tc>
        <w:tc>
          <w:tcPr>
            <w:tcW w:type="dxa" w:w="2088"/>
            <w:vAlign w:val="center"/>
          </w:tcPr>
          <w:p>
            <w:pPr>
              <w:pStyle w:val="TableText"/>
            </w:pPr>
            <w:r>
              <w:t>64 KiB</w:t>
            </w:r>
          </w:p>
        </w:tc>
        <w:tc>
          <w:tcPr>
            <w:tcW w:type="dxa" w:w="2088"/>
            <w:vAlign w:val="center"/>
          </w:tcPr>
          <w:p>
            <w:pPr>
              <w:pStyle w:val="TableText"/>
            </w:pPr>
            <w:r>
              <w:t>4 MiB</w:t>
            </w:r>
          </w:p>
        </w:tc>
      </w:tr>
      <w:tr>
        <w:trPr>
          <w:cantSplit/>
        </w:trPr>
        <w:tc>
          <w:tcPr>
            <w:tcW w:type="dxa" w:w="3816"/>
            <w:vAlign w:val="center"/>
            <w:shd w:fill="F5F7F9"/>
          </w:tcPr>
          <w:p>
            <w:pPr>
              <w:pStyle w:val="TableText"/>
            </w:pPr>
            <w:r>
              <w:t>Unitary or density matrix</w:t>
            </w:r>
          </w:p>
        </w:tc>
        <w:tc>
          <w:tcPr>
            <w:tcW w:type="dxa" w:w="2088"/>
            <w:vAlign w:val="center"/>
            <w:shd w:fill="F5F7F9"/>
          </w:tcPr>
          <w:p>
            <w:pPr>
              <w:pStyle w:val="TableText"/>
            </w:pPr>
            <w:r>
              <w:t>1 MiB</w:t>
            </w:r>
          </w:p>
        </w:tc>
        <w:tc>
          <w:tcPr>
            <w:tcW w:type="dxa" w:w="2088"/>
            <w:vAlign w:val="center"/>
            <w:shd w:fill="F5F7F9"/>
          </w:tcPr>
          <w:p>
            <w:pPr>
              <w:pStyle w:val="TableText"/>
            </w:pPr>
            <w:r>
              <w:t>256 MiB</w:t>
            </w:r>
          </w:p>
        </w:tc>
        <w:tc>
          <w:tcPr>
            <w:tcW w:type="dxa" w:w="2088"/>
            <w:vAlign w:val="center"/>
            <w:shd w:fill="F5F7F9"/>
          </w:tcPr>
          <w:p>
            <w:pPr>
              <w:pStyle w:val="TableText"/>
            </w:pPr>
            <w:r>
              <w:t>1 TiB</w:t>
            </w:r>
          </w:p>
        </w:tc>
      </w:tr>
      <w:tr>
        <w:trPr>
          <w:cantSplit/>
        </w:trPr>
        <w:tc>
          <w:tcPr>
            <w:tcW w:type="dxa" w:w="3816"/>
            <w:vAlign w:val="center"/>
          </w:tcPr>
          <w:p>
            <w:pPr>
              <w:pStyle w:val="TableText"/>
            </w:pPr>
            <w:r>
              <w:t>Generic Choi matrix</w:t>
            </w:r>
          </w:p>
        </w:tc>
        <w:tc>
          <w:tcPr>
            <w:tcW w:type="dxa" w:w="2088"/>
            <w:vAlign w:val="center"/>
          </w:tcPr>
          <w:p>
            <w:pPr>
              <w:pStyle w:val="TableText"/>
            </w:pPr>
            <w:r>
              <w:t>64 GiB</w:t>
            </w:r>
          </w:p>
        </w:tc>
        <w:tc>
          <w:tcPr>
            <w:tcW w:type="dxa" w:w="2088"/>
            <w:vAlign w:val="center"/>
          </w:tcPr>
          <w:p>
            <w:pPr>
              <w:pStyle w:val="TableText"/>
            </w:pPr>
            <w:r>
              <w:t>4 PiB</w:t>
            </w:r>
          </w:p>
        </w:tc>
        <w:tc>
          <w:tcPr>
            <w:tcW w:type="dxa" w:w="2088"/>
            <w:vAlign w:val="center"/>
          </w:tcPr>
          <w:p>
            <w:pPr>
              <w:pStyle w:val="TableText"/>
            </w:pPr>
            <w:r>
              <w:t>64 ZiB</w:t>
            </w:r>
          </w:p>
        </w:tc>
      </w:tr>
    </w:tbl>
    <w:p>
      <w:pPr>
        <w:spacing w:after="40" w:before="0" w:line="240" w:lineRule="auto"/>
      </w:pPr>
      <w:r>
        <w:rPr>
          <w:sz w:val="4"/>
        </w:rPr>
      </w:r>
    </w:p>
    <w:p>
      <w:pPr/>
      <w:r>
        <w:t>These are raw single-object sizes, excluding workspaces and copies. Start full-unitary comparison around n≤8 and generic Choi comparison at smaller sizes, then expand using measured limits. A statevector permits larger instances but checks only its input state. Matching a few states does not prove full operator equivalence.</w:t>
      </w:r>
    </w:p>
    <w:p>
      <w:pPr/>
      <w:r>
        <w:t xml:space="preserve">For dimension d, legal unitaries U and V have phase-invariant process fidelity </w:t>
      </w:r>
      <w:r>
        <w:rPr>
          <w:rFonts w:ascii="DejaVu Sans Mono" w:hAnsi="DejaVu Sans Mono" w:eastAsia="DejaVu Sans"/>
          <w:sz w:val="17"/>
        </w:rPr>
        <w:t>F_pro = |Tr(U†V)|²/d²</w:t>
      </w:r>
      <w:r>
        <w:t xml:space="preserve">. The average gate fidelity is </w:t>
      </w:r>
      <w:r>
        <w:rPr>
          <w:rFonts w:ascii="DejaVu Sans Mono" w:hAnsi="DejaVu Sans Mono" w:eastAsia="DejaVu Sans"/>
          <w:sz w:val="17"/>
        </w:rPr>
        <w:t>(dF_pro+1)/(d+1)</w:t>
      </w:r>
      <w:r>
        <w:t>. Average fidelity is not a worst-case norm bound. Tasks requiring coherent control or phase-sensitive reuse must use a phase-anchored contract or test the required controlled extension. [S11]</w:t>
      </w:r>
    </w:p>
    <w:p>
      <w:pPr/>
      <w:r>
        <w:t>For noisy or nonunitary tasks, use consistent Choi, Kraus, or superoperator conventions. Test complete positivity and trace preservation, then compare the declared channel metric. CPTP is a validity condition rather than a separate fidelity definition. Mid-circuit measurement requires checking classical outcomes, branching, and output registers.</w:t>
      </w:r>
    </w:p>
    <w:p>
      <w:pPr/>
      <w:r>
        <w:t>Stim applies to its supported stabilizer, measurement, and noise operations. Route general non-Clifford cases elsewhere. For QEC, pin code, rounds, noise parameters, decoder, and decomposition assumptions; report logical error rates with valid intervals. Zero observed failures imply an upper bound, not a zero true rate. Code distance needs an independent proof or search certificate. PyMatching assumptions belong in the result. [S17, S18]</w:t>
      </w:r>
    </w:p>
    <w:p>
      <w:pPr/>
      <w:r>
        <w:t>MPS and other approximate routes must record bond dimension, truncation, contraction choices, numerical error, and cross-checks. Empirical convergence does not create a rigorous error bound. Unbounded approximations cannot activate strict equivalence rewards or narrow certified reward intervals.</w:t>
      </w:r>
    </w:p>
    <w:p>
      <w:pPr>
        <w:pStyle w:val="Heading2"/>
      </w:pPr>
      <w:r>
        <w:t>9.4 Track C SDK execution and hardware compilation</w:t>
      </w:r>
    </w:p>
    <w:p>
      <w:pPr/>
      <w:r>
        <w:t>Define a normalized IR containing ordered wires, classical registers, gates, symbolic parameters, controls, measurements, reset, outputs, phase, and ancilla obligations. OpenQASM 3 and QIR are possible exchange formats with different roles; neither guarantees lossless round-tripping through every SDK. Declare supported subsets per adapter. A legal but unsupported task is UNKNOWN; violating an explicit task restriction is FAIL. [S23]</w:t>
      </w:r>
    </w:p>
    <w:p>
      <w:pPr/>
      <w:r>
        <w:t>Build golden tests for asymmetric rotations, basis inputs, superpositions, complex phase, controls, density matrices, and classical output maps. Record tensor axes and wire order rather than assigning a single endianness label to an entire framework. Qiskit distinguishes circuit-list, bit-string, integer, and statevector conventions. [S8]</w:t>
      </w:r>
    </w:p>
    <w:p>
      <w:pPr/>
      <w:r>
        <w:t>Pin native gates, coupling map, layout, routing algorithm, optimization level, random seed, approximation tolerance, and compilation time budget. Report logical T-count/T-depth separately from physical two-qubit count/depth and SWAP overhead. Arbitrary NISQ rotations are not all single T gates. Clifford+T synthesis requires a fixed approximation contract before resource comparison.</w:t>
      </w:r>
    </w:p>
    <w:p>
      <w:pPr/>
      <w:r>
        <w:t>Execute candidate code in isolation, extract controlled output, then independently parse and simulate it on the trusted side. Pin signatures and oracle access. Classical preprocessing and state preparation are legitimate when allowed; identify cheating from the declared task and query/resource requirements, not from a blanket AST ban on a library call.</w:t>
      </w:r>
    </w:p>
    <w:p>
      <w:pPr>
        <w:pStyle w:val="Heading2"/>
      </w:pPr>
      <w:r>
        <w:t>9.5 Service budgets and outcomes</w:t>
      </w:r>
    </w:p>
    <w:p>
      <w:pPr/>
      <w:r>
        <w:t>Initial timeout profiles may be 1.5/5 seconds soft/hard for fast tasks, 10/30 for medium tasks, and 60/300 for slow tasks. Calibrate by workload before freezing them. Add memory and CPU budgets and separate queues for expensive proofs and simulations.</w:t>
      </w:r>
    </w:p>
    <w:p>
      <w:pPr/>
      <w:r>
        <w:t xml:space="preserve">Candidate resource exhaustion can be FAIL with </w:t>
      </w:r>
      <w:r>
        <w:rPr>
          <w:rFonts w:ascii="DejaVu Sans Mono" w:hAnsi="DejaVu Sans Mono" w:eastAsia="DejaVu Sans"/>
          <w:sz w:val="17"/>
        </w:rPr>
        <w:t>candidate_budget_exceeded</w:t>
      </w:r>
      <w:r>
        <w:t>. Worker crashes, corrupt environments, scheduler faults, and invalid measurement configuration are VOID. Insufficient evidence within a legitimate verification budget is UNKNOWN. Report per-family P50/P95/P99 latency, memory, timeout rate, and useful completed groups; do not present aggregate fast-task throughput as universal capacity.</w:t>
      </w:r>
    </w:p>
    <w:p>
      <w:pPr>
        <w:pStyle w:val="Heading1"/>
      </w:pPr>
      <w:r>
        <w:t>10 Data generation and lineage</w:t>
      </w:r>
    </w:p>
    <w:p>
      <w:pPr>
        <w:pStyle w:val="Heading2"/>
      </w:pPr>
      <w:r>
        <w:t>10.1 Sources and roles</w:t>
      </w:r>
    </w:p>
    <w:p>
      <w:pPr/>
      <w:r>
        <w:t>Register sources before synthesis, with URL, revision, license, intended role, access date, and transformation lineage. SDK examples can support training under their terms. Public evaluation suites and their derivatives stay outside training. Public availability does not establish redistribution permission or absence from the base model's pretraining.</w:t>
      </w:r>
    </w:p>
    <w:p>
      <w:pPr/>
      <w:r>
        <w:t>Candidate resources include SDK documentation, Physlib and LeanQuantum, Qiskit HumanEval, MQT Bench, QASMBench, Microsoft QDK and Quantum Katas, and individual research papers with their authorized code. Verify file-level licenses and versions at ingestion. Do not require an unverified benchmark name such as QASMTransBench; first resolve its actual repository and protocol. [S9, S10, S15, S16, S19–S23]</w:t>
      </w:r>
    </w:p>
    <w:p>
      <w:pPr>
        <w:pStyle w:val="Heading2"/>
      </w:pPr>
      <w:r>
        <w:t>10.2 Circuit and software synthesis</w:t>
      </w:r>
    </w:p>
    <w:p>
      <w:pPr/>
      <w:r>
        <w:t xml:space="preserve">Generate a feasible reference circuit, then apply certified identities, decompositions, commutations, or ZX rewrites. Save rule IDs, parameters, before/after hashes, and certificates. Check phase and context preconditions for every transformation. Name the reference </w:t>
      </w:r>
      <w:r>
        <w:rPr>
          <w:rFonts w:ascii="DejaVu Sans Mono" w:hAnsi="DejaVu Sans Mono" w:eastAsia="DejaVu Sans"/>
          <w:sz w:val="17"/>
        </w:rPr>
        <w:t>C_ref_feasible</w:t>
      </w:r>
      <w:r>
        <w:t>; its cost is an upper bound on the optimum for a minimization problem. Claim global optimality only with a corresponding search or lower-bound certificate.</w:t>
      </w:r>
    </w:p>
    <w:p>
      <w:pPr/>
      <w:r>
        <w:t>Include real algorithm structures, subroutine composition, random circuits, and held-out rewrite combinations. Adjacent inverse-gate deletion is useful for a smoke test but cannot dominate the task distribution. Track gate distributions, structure, depth, and optimality evidence.</w:t>
      </w:r>
    </w:p>
    <w:p>
      <w:pPr/>
      <w:r>
        <w:t>Generate SDK implementations through the normalized IR and verify them independently. Inject realistic faults: swapped controls and targets, missing phase corrections, wire maps, measurement ordering, angle units, dimensionality, API changes, gradient interfaces, and seed handling. Preserve failed version, public feedback, repaired version, and hidden evaluation. Use a second backend or small direct linear algebra oracle to avoid a shared generator/verifier bug.</w:t>
      </w:r>
    </w:p>
    <w:p>
      <w:pPr/>
      <w:r>
        <w:t>For sampling tests, specify a distance, tolerance, and power. Failure to reject a chi-square test is not a proof of equal distributions. Apply the contextual and witness methods as distinct, cost-matched data-generation branches.</w:t>
      </w:r>
    </w:p>
    <w:p>
      <w:pPr>
        <w:pStyle w:val="Heading2"/>
      </w:pPr>
      <w:r>
        <w:t>10.3 Theory and research synthesis</w:t>
      </w:r>
    </w:p>
    <w:p>
      <w:pPr/>
      <w:r>
        <w:t>Build a dependency graph linking definitions, assumptions, statements, proofs, and verifiers. Generate valid lemmas, missing-assumption tasks, false statements, and verified counterexamples. Keep finite-dimensional claims distinct from infinite-dimensional ones; do not silently add invertibility, commutativity, full rank, or boundedness during formalization.</w:t>
      </w:r>
    </w:p>
    <w:p>
      <w:pPr/>
      <w:r>
        <w:t>Use two reviews for paper formalization: fidelity of the formal statement to the source, then validity of its proof. Advanced results enter FORMAL tasks only when their definitions and dependencies exist. Otherwise preserve them as research-analysis tasks with the appropriate evidence status. At least one dedicated family must reward a correct refutation of an invalid premise.</w:t>
      </w:r>
    </w:p>
    <w:p>
      <w:pPr>
        <w:pStyle w:val="Heading2"/>
      </w:pPr>
      <w:r>
        <w:t>10.4 Scale and sampling</w:t>
      </w:r>
    </w:p>
    <w:p>
      <w:pPr/>
      <w:r>
        <w:t>Start with roughly 2,000 verified tasks across at least 100 roots or families, audit them, and expand toward 5,000–20,000 SFT examples. These are starting design targets, not quotas to satisfy by duplicating data. The original 500k circuit, 150k code, and 30k theorem targets sum to 680k and remain optional scale goals.</w:t>
      </w:r>
    </w:p>
    <w:p>
      <w:pPr/>
      <w:r>
        <w:t>An initial SFT mixture may allocate 30% to science and counterexamples, 25% to code generation, 20% to repair and translation, 15% to circuits and topology, and 10% to general retention. Record unique roots and sampled views separately. Begin teacher rejection sampling at two to four attempts per task and expand only where pass rates and marginal value justify the cost. Teacher confidence and explanation length are not correctness labels.</w:t>
      </w:r>
    </w:p>
    <w:p>
      <w:pPr>
        <w:pStyle w:val="Heading2"/>
      </w:pPr>
      <w:r>
        <w:t>10.5 Split before transformation</w:t>
      </w:r>
    </w:p>
    <w:p>
      <w:pPr/>
      <w:r>
        <w:t>Split source documents, theorem families, algorithm skeletons, seed ancestors, and witness schemas before generating variants. Keep each root's rewrites, SDK translations, counterexamples, and repair history within its assigned split. Maintain training, development, validation, and sealed final-test partitions. The sealed test cannot enter teacher prompts, RAG, tool feedback, curriculum selection, or debugging.</w:t>
      </w:r>
    </w:p>
    <w:p>
      <w:pPr/>
      <w:r>
        <w:t xml:space="preserve">Audit raw hashes, normalized ASTs, text similarity, circuit ancestry, theorem dependencies, parameter ranges, and caches. Quarantine unresolved overlap. The manifest must close both accounting identities: </w:t>
      </w:r>
      <w:r>
        <w:rPr>
          <w:rFonts w:ascii="DejaVu Sans Mono" w:hAnsi="DejaVu Sans Mono" w:eastAsia="DejaVu Sans"/>
          <w:sz w:val="17"/>
        </w:rPr>
        <w:t>input = accepted + rejected + processing_failed</w:t>
      </w:r>
      <w:r>
        <w:t xml:space="preserve">, and </w:t>
      </w:r>
      <w:r>
        <w:rPr>
          <w:rFonts w:ascii="DejaVu Sans Mono" w:hAnsi="DejaVu Sans Mono" w:eastAsia="DejaVu Sans"/>
          <w:sz w:val="17"/>
        </w:rPr>
        <w:t>unique accepted = train + dev + validation + sealed_test</w:t>
      </w:r>
      <w:r>
        <w:t xml:space="preserve"> for disjoint partitions. Looking at a sealed test consumes it for further adaptive development; use a new version for subsequent confirmatory claims.</w:t>
      </w:r>
    </w:p>
    <w:p>
      <w:pPr>
        <w:pStyle w:val="Heading1"/>
      </w:pPr>
      <w:r>
        <w:t>11 Supervised fine tuning</w:t>
      </w:r>
    </w:p>
    <w:p>
      <w:pPr/>
      <w:r>
        <w:t>Diagnose knowledge gaps, reasoning errors, API errors, formatting failures, and unsupported verification separately. Use targeted SFT first for interface and code problems. If persistent scientific knowledge gaps dominate, test a small knowledge-SFT or continued-pretraining branch with general-data retention. Large-scale continued pretraining is not a mandatory prerequisite.</w:t>
      </w:r>
    </w:p>
    <w:p>
      <w:pPr/>
      <w:r>
        <w:t>Targets follow the task: source files or code for programming, a proof body for Lean, and conclusions, assumptions, necessary derivations, and evidence for scientific questions. Use structured wrappers only when a machine interface needs them. Task-appropriate self-checks address operator relations, dimensions and wire maps, phase semantics, and resources. They must yield checkable statements; simple tasks do not require long reasoning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Parameter</w:t>
            </w:r>
          </w:p>
        </w:tc>
        <w:tc>
          <w:tcPr>
            <w:tcW w:type="dxa" w:w="3816"/>
            <w:vAlign w:val="center"/>
            <w:shd w:fill="DCE6EF"/>
          </w:tcPr>
          <w:p>
            <w:pPr>
              <w:pStyle w:val="TableText"/>
            </w:pPr>
            <w:r>
              <w:rPr>
                <w:b/>
                <w:color w:val="000000"/>
              </w:rPr>
              <w:t>Initial candidate</w:t>
            </w:r>
          </w:p>
        </w:tc>
        <w:tc>
          <w:tcPr>
            <w:tcW w:type="dxa" w:w="3888"/>
            <w:vAlign w:val="center"/>
            <w:shd w:fill="DCE6EF"/>
          </w:tcPr>
          <w:p>
            <w:pPr>
              <w:pStyle w:val="TableText"/>
            </w:pPr>
            <w:r>
              <w:rPr>
                <w:b/>
                <w:color w:val="000000"/>
              </w:rPr>
              <w:t>Selection rule</w:t>
            </w:r>
          </w:p>
        </w:tc>
      </w:tr>
      <w:tr>
        <w:trPr>
          <w:cantSplit/>
        </w:trPr>
        <w:tc>
          <w:tcPr>
            <w:tcW w:type="dxa" w:w="2376"/>
            <w:vAlign w:val="center"/>
          </w:tcPr>
          <w:p>
            <w:pPr>
              <w:pStyle w:val="TableText"/>
            </w:pPr>
            <w:r>
              <w:t>Precision and adaptation</w:t>
            </w:r>
          </w:p>
        </w:tc>
        <w:tc>
          <w:tcPr>
            <w:tcW w:type="dxa" w:w="3816"/>
            <w:vAlign w:val="center"/>
          </w:tcPr>
          <w:p>
            <w:pPr>
              <w:pStyle w:val="TableText"/>
            </w:pPr>
            <w:r>
              <w:t>BF16 with LoRA rank 16 or 32</w:t>
            </w:r>
          </w:p>
        </w:tc>
        <w:tc>
          <w:tcPr>
            <w:tcW w:type="dxa" w:w="3888"/>
            <w:vAlign w:val="center"/>
          </w:tcPr>
          <w:p>
            <w:pPr>
              <w:pStyle w:val="TableText"/>
            </w:pPr>
            <w:r>
              <w:t>Pass actual load, gradient, save, and reload gates</w:t>
            </w:r>
          </w:p>
        </w:tc>
      </w:tr>
      <w:tr>
        <w:trPr>
          <w:cantSplit/>
        </w:trPr>
        <w:tc>
          <w:tcPr>
            <w:tcW w:type="dxa" w:w="2376"/>
            <w:vAlign w:val="center"/>
            <w:shd w:fill="F5F7F9"/>
          </w:tcPr>
          <w:p>
            <w:pPr>
              <w:pStyle w:val="TableText"/>
            </w:pPr>
            <w:r>
              <w:t>Learning rate</w:t>
            </w:r>
          </w:p>
        </w:tc>
        <w:tc>
          <w:tcPr>
            <w:tcW w:type="dxa" w:w="3816"/>
            <w:vAlign w:val="center"/>
            <w:shd w:fill="F5F7F9"/>
          </w:tcPr>
          <w:p>
            <w:pPr>
              <w:pStyle w:val="TableText"/>
            </w:pPr>
            <w:r>
              <w:t>Small grid from 2e-5 to 1e-4</w:t>
            </w:r>
          </w:p>
        </w:tc>
        <w:tc>
          <w:tcPr>
            <w:tcW w:type="dxa" w:w="3888"/>
            <w:vAlign w:val="center"/>
            <w:shd w:fill="F5F7F9"/>
          </w:tcPr>
          <w:p>
            <w:pPr>
              <w:pStyle w:val="TableText"/>
            </w:pPr>
            <w:r>
              <w:t>Development gain and retention, not loss alone</w:t>
            </w:r>
          </w:p>
        </w:tc>
      </w:tr>
      <w:tr>
        <w:trPr>
          <w:cantSplit/>
        </w:trPr>
        <w:tc>
          <w:tcPr>
            <w:tcW w:type="dxa" w:w="2376"/>
            <w:vAlign w:val="center"/>
          </w:tcPr>
          <w:p>
            <w:pPr>
              <w:pStyle w:val="TableText"/>
            </w:pPr>
            <w:r>
              <w:t>Microbatch</w:t>
            </w:r>
          </w:p>
        </w:tc>
        <w:tc>
          <w:tcPr>
            <w:tcW w:type="dxa" w:w="3816"/>
            <w:vAlign w:val="center"/>
          </w:tcPr>
          <w:p>
            <w:pPr>
              <w:pStyle w:val="TableText"/>
            </w:pPr>
            <w:r>
              <w:t>1 per device initially</w:t>
            </w:r>
          </w:p>
        </w:tc>
        <w:tc>
          <w:tcPr>
            <w:tcW w:type="dxa" w:w="3888"/>
            <w:vAlign w:val="center"/>
          </w:tcPr>
          <w:p>
            <w:pPr>
              <w:pStyle w:val="TableText"/>
            </w:pPr>
            <w:r>
              <w:t>Measured memory and sequence packing</w:t>
            </w:r>
          </w:p>
        </w:tc>
      </w:tr>
      <w:tr>
        <w:trPr>
          <w:cantSplit/>
        </w:trPr>
        <w:tc>
          <w:tcPr>
            <w:tcW w:type="dxa" w:w="2376"/>
            <w:vAlign w:val="center"/>
            <w:shd w:fill="F5F7F9"/>
          </w:tcPr>
          <w:p>
            <w:pPr>
              <w:pStyle w:val="TableText"/>
            </w:pPr>
            <w:r>
              <w:t>Effective batch</w:t>
            </w:r>
          </w:p>
        </w:tc>
        <w:tc>
          <w:tcPr>
            <w:tcW w:type="dxa" w:w="3816"/>
            <w:vAlign w:val="center"/>
            <w:shd w:fill="F5F7F9"/>
          </w:tcPr>
          <w:p>
            <w:pPr>
              <w:pStyle w:val="TableText"/>
            </w:pPr>
            <w:r>
              <w:t>Approximately 32 complete samples initially</w:t>
            </w:r>
          </w:p>
        </w:tc>
        <w:tc>
          <w:tcPr>
            <w:tcW w:type="dxa" w:w="3888"/>
            <w:vAlign w:val="center"/>
            <w:shd w:fill="F5F7F9"/>
          </w:tcPr>
          <w:p>
            <w:pPr>
              <w:pStyle w:val="TableText"/>
            </w:pPr>
            <w:r>
              <w:t>Record global token count and parallelism</w:t>
            </w:r>
          </w:p>
        </w:tc>
      </w:tr>
      <w:tr>
        <w:trPr>
          <w:cantSplit/>
        </w:trPr>
        <w:tc>
          <w:tcPr>
            <w:tcW w:type="dxa" w:w="2376"/>
            <w:vAlign w:val="center"/>
          </w:tcPr>
          <w:p>
            <w:pPr>
              <w:pStyle w:val="TableText"/>
            </w:pPr>
            <w:r>
              <w:t>Sequence limits</w:t>
            </w:r>
          </w:p>
        </w:tc>
        <w:tc>
          <w:tcPr>
            <w:tcW w:type="dxa" w:w="3816"/>
            <w:vAlign w:val="center"/>
          </w:tcPr>
          <w:p>
            <w:pPr>
              <w:pStyle w:val="TableText"/>
            </w:pPr>
            <w:r>
              <w:t>4k input plus 4k output</w:t>
            </w:r>
          </w:p>
        </w:tc>
        <w:tc>
          <w:tcPr>
            <w:tcW w:type="dxa" w:w="3888"/>
            <w:vAlign w:val="center"/>
          </w:tcPr>
          <w:p>
            <w:pPr>
              <w:pStyle w:val="TableText"/>
            </w:pPr>
            <w:r>
              <w:t>Include template overhead and reject incomplete targets</w:t>
            </w:r>
          </w:p>
        </w:tc>
      </w:tr>
      <w:tr>
        <w:trPr>
          <w:cantSplit/>
        </w:trPr>
        <w:tc>
          <w:tcPr>
            <w:tcW w:type="dxa" w:w="2376"/>
            <w:vAlign w:val="center"/>
            <w:shd w:fill="F5F7F9"/>
          </w:tcPr>
          <w:p>
            <w:pPr>
              <w:pStyle w:val="TableText"/>
            </w:pPr>
            <w:r>
              <w:t>Loss mask</w:t>
            </w:r>
          </w:p>
        </w:tc>
        <w:tc>
          <w:tcPr>
            <w:tcW w:type="dxa" w:w="3816"/>
            <w:vAlign w:val="center"/>
            <w:shd w:fill="F5F7F9"/>
          </w:tcPr>
          <w:p>
            <w:pPr>
              <w:pStyle w:val="TableText"/>
            </w:pPr>
            <w:r>
              <w:t>Target tokens only</w:t>
            </w:r>
          </w:p>
        </w:tc>
        <w:tc>
          <w:tcPr>
            <w:tcW w:type="dxa" w:w="3888"/>
            <w:vAlign w:val="center"/>
            <w:shd w:fill="F5F7F9"/>
          </w:tcPr>
          <w:p>
            <w:pPr>
              <w:pStyle w:val="TableText"/>
            </w:pPr>
            <w:r>
              <w:t>Exclude prompt, padding, and tool-output tokens</w:t>
            </w:r>
          </w:p>
        </w:tc>
      </w:tr>
      <w:tr>
        <w:trPr>
          <w:cantSplit/>
        </w:trPr>
        <w:tc>
          <w:tcPr>
            <w:tcW w:type="dxa" w:w="2376"/>
            <w:vAlign w:val="center"/>
          </w:tcPr>
          <w:p>
            <w:pPr>
              <w:pStyle w:val="TableText"/>
            </w:pPr>
            <w:r>
              <w:t>Checkpoint selection</w:t>
            </w:r>
          </w:p>
        </w:tc>
        <w:tc>
          <w:tcPr>
            <w:tcW w:type="dxa" w:w="3816"/>
            <w:vAlign w:val="center"/>
          </w:tcPr>
          <w:p>
            <w:pPr>
              <w:pStyle w:val="TableText"/>
            </w:pPr>
            <w:r>
              <w:t>Frozen development metrics and guardrails</w:t>
            </w:r>
          </w:p>
        </w:tc>
        <w:tc>
          <w:tcPr>
            <w:tcW w:type="dxa" w:w="3888"/>
            <w:vAlign w:val="center"/>
          </w:tcPr>
          <w:p>
            <w:pPr>
              <w:pStyle w:val="TableText"/>
            </w:pPr>
            <w:r>
              <w:t>Validate family transfer before expanding steps</w:t>
            </w:r>
          </w:p>
        </w:tc>
      </w:tr>
    </w:tbl>
    <w:p>
      <w:pPr>
        <w:spacing w:after="40" w:before="0" w:line="240" w:lineRule="auto"/>
      </w:pPr>
      <w:r>
        <w:rPr>
          <w:sz w:val="4"/>
        </w:rPr>
      </w:r>
    </w:p>
    <w:p>
      <w:pPr/>
      <w:r>
        <w:t>QLoRA requires separate quantization, kernel, and reload validation on the target hardware. Do not assume CUDA-specific quantization support on Ascend. If the model fits a tiny training set but fails new families, inspect coverage and labels before extending training.</w:t>
      </w:r>
    </w:p>
    <w:p>
      <w:pPr/>
      <w:r>
        <w:t>The proposed SFT gate requires at least 98% interface compliance, nonzero success in the supported task families, a development improvement over the matched base model, and passing retention checks. Interface compliance alone does not make advanced RL tasks learnable. Set curriculum difficulty using measured success rates.</w:t>
      </w:r>
    </w:p>
    <w:p>
      <w:pPr>
        <w:pStyle w:val="Heading1"/>
      </w:pPr>
      <w:r>
        <w:t>12 Reward contract and baseline reinforcement learning</w:t>
      </w:r>
    </w:p>
    <w:p>
      <w:pPr>
        <w:pStyle w:val="Heading2"/>
      </w:pPr>
      <w:r>
        <w:t>12.1 Correctness gates</w:t>
      </w:r>
    </w:p>
    <w:p>
      <w:pPr/>
      <w:r>
        <w:t>Implement a simple terminal reward before adding shaping. All constants below are experimental choices to freeze and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Trusted outcome</w:t>
            </w:r>
          </w:p>
        </w:tc>
        <w:tc>
          <w:tcPr>
            <w:tcW w:type="dxa" w:w="3816"/>
            <w:vAlign w:val="center"/>
            <w:shd w:fill="DCE6EF"/>
          </w:tcPr>
          <w:p>
            <w:pPr>
              <w:pStyle w:val="TableText"/>
            </w:pPr>
            <w:r>
              <w:rPr>
                <w:b/>
                <w:color w:val="000000"/>
              </w:rPr>
              <w:t>Point reward</w:t>
            </w:r>
          </w:p>
        </w:tc>
        <w:tc>
          <w:tcPr>
            <w:tcW w:type="dxa" w:w="3888"/>
            <w:vAlign w:val="center"/>
            <w:shd w:fill="DCE6EF"/>
          </w:tcPr>
          <w:p>
            <w:pPr>
              <w:pStyle w:val="TableText"/>
            </w:pPr>
            <w:r>
              <w:rPr>
                <w:b/>
                <w:color w:val="000000"/>
              </w:rPr>
              <w:t>Treatment</w:t>
            </w:r>
          </w:p>
        </w:tc>
      </w:tr>
      <w:tr>
        <w:trPr>
          <w:cantSplit/>
        </w:trPr>
        <w:tc>
          <w:tcPr>
            <w:tcW w:type="dxa" w:w="2376"/>
            <w:vAlign w:val="center"/>
          </w:tcPr>
          <w:p>
            <w:pPr>
              <w:pStyle w:val="TableText"/>
            </w:pPr>
            <w:r>
              <w:t>VOID or insufficient evidence</w:t>
            </w:r>
          </w:p>
        </w:tc>
        <w:tc>
          <w:tcPr>
            <w:tcW w:type="dxa" w:w="3816"/>
            <w:vAlign w:val="center"/>
          </w:tcPr>
          <w:p>
            <w:pPr>
              <w:pStyle w:val="TableText"/>
            </w:pPr>
            <w:r>
              <w:t>null</w:t>
            </w:r>
          </w:p>
        </w:tc>
        <w:tc>
          <w:tcPr>
            <w:tcW w:type="dxa" w:w="3888"/>
            <w:vAlign w:val="center"/>
          </w:tcPr>
          <w:p>
            <w:pPr>
              <w:pStyle w:val="TableText"/>
            </w:pPr>
            <w:r>
              <w:t>Retry under policy or quarantine the group</w:t>
            </w:r>
          </w:p>
        </w:tc>
      </w:tr>
      <w:tr>
        <w:trPr>
          <w:cantSplit/>
        </w:trPr>
        <w:tc>
          <w:tcPr>
            <w:tcW w:type="dxa" w:w="2376"/>
            <w:vAlign w:val="center"/>
            <w:shd w:fill="F5F7F9"/>
          </w:tcPr>
          <w:p>
            <w:pPr>
              <w:pStyle w:val="TableText"/>
            </w:pPr>
            <w:r>
              <w:t>Tampering, explicit contract violation, or invalid format</w:t>
            </w:r>
          </w:p>
        </w:tc>
        <w:tc>
          <w:tcPr>
            <w:tcW w:type="dxa" w:w="3816"/>
            <w:vAlign w:val="center"/>
            <w:shd w:fill="F5F7F9"/>
          </w:tcPr>
          <w:p>
            <w:pPr>
              <w:pStyle w:val="TableText"/>
            </w:pPr>
            <w:r>
              <w:t>-1.0</w:t>
            </w:r>
          </w:p>
        </w:tc>
        <w:tc>
          <w:tcPr>
            <w:tcW w:type="dxa" w:w="3888"/>
            <w:vAlign w:val="center"/>
            <w:shd w:fill="F5F7F9"/>
          </w:tcPr>
          <w:p>
            <w:pPr>
              <w:pStyle w:val="TableText"/>
            </w:pPr>
            <w:r>
              <w:t>Record the specific candidate-caused failure</w:t>
            </w:r>
          </w:p>
        </w:tc>
      </w:tr>
      <w:tr>
        <w:trPr>
          <w:cantSplit/>
        </w:trPr>
        <w:tc>
          <w:tcPr>
            <w:tcW w:type="dxa" w:w="2376"/>
            <w:vAlign w:val="center"/>
          </w:tcPr>
          <w:p>
            <w:pPr>
              <w:pStyle w:val="TableText"/>
            </w:pPr>
            <w:r>
              <w:t>Valid format but incorrect solution</w:t>
            </w:r>
          </w:p>
        </w:tc>
        <w:tc>
          <w:tcPr>
            <w:tcW w:type="dxa" w:w="3816"/>
            <w:vAlign w:val="center"/>
          </w:tcPr>
          <w:p>
            <w:pPr>
              <w:pStyle w:val="TableText"/>
            </w:pPr>
            <w:r>
              <w:t>0.0</w:t>
            </w:r>
          </w:p>
        </w:tc>
        <w:tc>
          <w:tcPr>
            <w:tcW w:type="dxa" w:w="3888"/>
            <w:vAlign w:val="center"/>
          </w:tcPr>
          <w:p>
            <w:pPr>
              <w:pStyle w:val="TableText"/>
            </w:pPr>
            <w:r>
              <w:t>No reward for apparent progress</w:t>
            </w:r>
          </w:p>
        </w:tc>
      </w:tr>
      <w:tr>
        <w:trPr>
          <w:cantSplit/>
        </w:trPr>
        <w:tc>
          <w:tcPr>
            <w:tcW w:type="dxa" w:w="2376"/>
            <w:vAlign w:val="center"/>
            <w:shd w:fill="F5F7F9"/>
          </w:tcPr>
          <w:p>
            <w:pPr>
              <w:pStyle w:val="TableText"/>
            </w:pPr>
            <w:r>
              <w:t>Correct solution satisfying hard resource constraints</w:t>
            </w:r>
          </w:p>
        </w:tc>
        <w:tc>
          <w:tcPr>
            <w:tcW w:type="dxa" w:w="3816"/>
            <w:vAlign w:val="center"/>
            <w:shd w:fill="F5F7F9"/>
          </w:tcPr>
          <w:p>
            <w:pPr>
              <w:pStyle w:val="TableText"/>
            </w:pPr>
            <w:r>
              <w:t>1.0 + b</w:t>
            </w:r>
          </w:p>
        </w:tc>
        <w:tc>
          <w:tcPr>
            <w:tcW w:type="dxa" w:w="3888"/>
            <w:vAlign w:val="center"/>
            <w:shd w:fill="F5F7F9"/>
          </w:tcPr>
          <w:p>
            <w:pPr>
              <w:pStyle w:val="TableText"/>
            </w:pPr>
            <w:r>
              <w:t>Resource bonus b lies in [0, 0.25]</w:t>
            </w:r>
          </w:p>
        </w:tc>
      </w:tr>
    </w:tbl>
    <w:p>
      <w:pPr>
        <w:spacing w:after="40" w:before="0" w:line="240" w:lineRule="auto"/>
      </w:pPr>
      <w:r>
        <w:rPr>
          <w:sz w:val="4"/>
        </w:rPr>
      </w:r>
    </w:p>
    <w:p>
      <w:pPr/>
      <w:r>
        <w:t>Hard gate limits, oracle queries, ancilla rules, and approximation error are part of correctness. A bonus cannot compensate for violating them. A model's printed fidelity or a candidate-provided test is not trusted evidence. Partial formal proofs receive no terminal correctness credit. Predeclared sublemma rewards or bounded continuous shaping are separate experiments and do not alter strict Pass metrics.</w:t>
      </w:r>
    </w:p>
    <w:p>
      <w:pPr/>
      <w:r>
        <w:t xml:space="preserve">For applicable resource j, fix reference cost </w:t>
      </w:r>
      <w:r>
        <w:rPr>
          <w:rFonts w:ascii="DejaVu Sans Mono" w:hAnsi="DejaVu Sans Mono" w:eastAsia="DejaVu Sans"/>
          <w:sz w:val="17"/>
        </w:rPr>
        <w:t>c_ref_j</w:t>
      </w:r>
      <w:r>
        <w:t xml:space="preserve">, candidate cost </w:t>
      </w:r>
      <w:r>
        <w:rPr>
          <w:rFonts w:ascii="DejaVu Sans Mono" w:hAnsi="DejaVu Sans Mono" w:eastAsia="DejaVu Sans"/>
          <w:sz w:val="17"/>
        </w:rPr>
        <w:t>c_j</w:t>
      </w:r>
      <w:r>
        <w:t>, and weights summing to one:</w:t>
      </w:r>
    </w:p>
    <w:p>
      <w:pPr/>
      <w:r>
        <w:rPr>
          <w:rFonts w:ascii="DejaVu Sans Mono" w:hAnsi="DejaVu Sans Mono" w:eastAsia="DejaVu Sans"/>
          <w:sz w:val="17"/>
        </w:rPr>
        <w:t>b = 0.25 Σ_j w_j clip((c_ref_j-c_j)/c_ref_j, 0, 1)</w:t>
      </w:r>
      <w:r>
        <w:t>.</w:t>
      </w:r>
    </w:p>
    <w:p>
      <w:pPr/>
      <w:r>
        <w:t>Use the ratio only when the reference cost is positive. A zero-cost reference receives no improvement bonus for that component, and any increase remains visible. Remove or reweight inapplicable components when constructing the task, not after seeing the answer. Report T resources separately from NISQ routing resources and add guardrails on omitted costs.</w:t>
      </w:r>
    </w:p>
    <w:p>
      <w:pPr/>
      <w:r>
        <w:t>Reference compilers include the feasible input circuit, a pinned Qiskit configuration, and PyZX where appropriate. MQT QCEC is a useful independent equivalence checker; its partial-equivalence, ancilla, output, and phase settings must match the task contract. It is established verification infrastructure rather than a project innovation. [S13, R14]</w:t>
      </w:r>
    </w:p>
    <w:p>
      <w:pPr/>
      <w:r>
        <w:t>Compare paired resource costs where both solutions are correct, alongside overall end-to-end success. Otherwise a method could appear efficient merely by failing difficult tasks. Statistical reward inputs use valid intervals or fixed sampling designs. Repeated testing until a lucky pass is prohibited.</w:t>
      </w:r>
    </w:p>
    <w:p>
      <w:pPr>
        <w:pStyle w:val="Heading2"/>
      </w:pPr>
      <w:r>
        <w:t>12.2 Explicit baseline objective</w:t>
      </w:r>
    </w:p>
    <w:p>
      <w:pPr/>
      <w:r>
        <w:t xml:space="preserve">Use a versioned Dr. GRPO-style objective with a separately specified reference KL. For G candidates from behavior policy π_b, define </w:t>
      </w:r>
      <w:r>
        <w:rPr>
          <w:rFonts w:ascii="DejaVu Sans Mono" w:hAnsi="DejaVu Sans Mono" w:eastAsia="DejaVu Sans"/>
          <w:sz w:val="17"/>
        </w:rPr>
        <w:t>A_i = r_i-mean(r)</w:t>
      </w:r>
      <w:r>
        <w:t xml:space="preserve"> without group-standard-deviation normalization. For generated token t, define </w:t>
      </w:r>
      <w:r>
        <w:rPr>
          <w:rFonts w:ascii="DejaVu Sans Mono" w:hAnsi="DejaVu Sans Mono" w:eastAsia="DejaVu Sans"/>
          <w:sz w:val="17"/>
        </w:rPr>
        <w:t>ρ_it = exp(log π_θ - log π_b)</w:t>
      </w:r>
      <w:r>
        <w:t>. With mask m and a fixed completion cap:</w:t>
      </w:r>
    </w:p>
    <w:p>
      <w:pPr/>
      <w:r>
        <w:rPr>
          <w:rFonts w:ascii="DejaVu Sans Mono" w:hAnsi="DejaVu Sans Mono" w:eastAsia="DejaVu Sans"/>
          <w:sz w:val="17"/>
        </w:rPr>
        <w:t>L = -Σ_i,t m_it min(ρ_it A_i, clip(ρ_it,1-ε,1+ε) A_i)/(G L_cap) + β KL_ref</w:t>
      </w:r>
      <w:r>
        <w:t>.</w:t>
      </w:r>
    </w:p>
    <w:p>
      <w:pPr/>
      <w:r>
        <w:t xml:space="preserve">The initial reference KL is the full-vocabulary divergence </w:t>
      </w:r>
      <w:r>
        <w:rPr>
          <w:rFonts w:ascii="DejaVu Sans Mono" w:hAnsi="DejaVu Sans Mono" w:eastAsia="DejaVu Sans"/>
          <w:sz w:val="17"/>
        </w:rPr>
        <w:t>KL(π_θ(.|h)||π_ref(.|h))</w:t>
      </w:r>
      <w:r>
        <w:t>, averaged over valid generated-token histories h from the behavior rollouts. Freeze the SFT reference checkpoint and its hash. Reference probabilities, histories, rewards, advantages, and behavior log probabilities are detached; current-policy probabilities retain gradients. Chunk vocabulary computation if needed and verify the global sum.</w:t>
      </w:r>
    </w:p>
    <w:p>
      <w:pPr/>
      <w:r>
        <w:t>This KL regularizes sampled histories; it is not asserted to equal KL between full current-policy trajectory distributions. A sampled approximation requires a new objective contract with its sampling law and gradient treatment. Constant rewards make the policy-reward term zero, while KL can still generate gradients. Test the total zero-gradient case separately with β=0.</w:t>
      </w:r>
    </w:p>
    <w:p>
      <w:pPr/>
      <w:r>
        <w:t>Start with ε=0.2 and a small β candidate such as 0.01, selected on development data. DAPO has distinct token aggregation, clipping, sampling, and truncation choices; do not interchange names or inherit defaults silently. Independently recompute loss and gradients on tiny fixtures before training. [S6, S7]</w:t>
      </w:r>
    </w:p>
    <w:p>
      <w:pPr/>
      <w:r>
        <w:t xml:space="preserve">The Section 3 research branch replaces </w:t>
      </w:r>
      <w:r>
        <w:rPr>
          <w:rFonts w:ascii="DejaVu Sans Mono" w:hAnsi="DejaVu Sans Mono" w:eastAsia="DejaVu Sans"/>
          <w:sz w:val="17"/>
        </w:rPr>
        <w:t>A_i</w:t>
      </w:r>
      <w:r>
        <w:t xml:space="preserve"> with </w:t>
      </w:r>
      <w:r>
        <w:rPr>
          <w:rFonts w:ascii="DejaVu Sans Mono" w:hAnsi="DejaVu Sans Mono" w:eastAsia="DejaVu Sans"/>
          <w:sz w:val="17"/>
        </w:rPr>
        <w:t>c_i</w:t>
      </w:r>
      <w:r>
        <w:t xml:space="preserve"> and records the bound B. Its name, interval policy, statistical budget, and selection behavior belong in a new contract. It must be compared with the point baseline, not silently substituted into it.</w:t>
      </w:r>
    </w:p>
    <w:p>
      <w:pPr>
        <w:pStyle w:val="Heading2"/>
      </w:pPr>
      <w:r>
        <w:t>12.3 Sampling and curriculum</w:t>
      </w:r>
    </w:p>
    <w:p>
      <w:pPr/>
      <w:r>
        <w:t>Start with G=4 or 8. Compare larger groups only after measuring effective updates per unit cost. Store exact prompt/token IDs, behavior revision, generation settings, stop reason, and log probabilities. Initially use temperature 1, no top-k/top-p truncation, and no repetition penalty. If sampling transformations are introduced, define the behavior distribution, importance ratios, and support restrictions explicitly.</w:t>
      </w:r>
    </w:p>
    <w:p>
      <w:pPr/>
      <w:r>
        <w:t>Detect zero signal from total reward variance, not binary success alone. All-pass groups can still differ in resource reward. All-fail groups can retain signal from invalid outcomes at -1 versus semantically incorrect outcomes at 0. Additional shaping requires a separately specified contract. Retain zero-signal statistics and revisit task families; do not permanently remove them. Cap resampling attempts and tokens rather than loop indefinitely for a mixed group.</w:t>
      </w:r>
    </w:p>
    <w:p>
      <w:pPr/>
      <w:r>
        <w:t>Use a curriculum from basic operators and small exact circuits to multi-framework, noise, fault tolerance, and certified advanced subproblems. Maintain a fixed-distribution diagnostic stream to detect neglect of slow or difficult families. Curriculum decisions use development performance and coverage as well as training rewards.</w:t>
      </w:r>
    </w:p>
    <w:p>
      <w:pPr>
        <w:pStyle w:val="Heading2"/>
      </w:pPr>
      <w:r>
        <w:t>12.4 Training health</w:t>
      </w:r>
    </w:p>
    <w:p>
      <w:pPr/>
      <w:r>
        <w:t>Track generated and trained tokens, reward variance, zero-signal groups, entropy, KL, clipping fraction, gradients, adapter changes, truncation, family success, and cost per effective update. Stop on nonfinite losses or persistent absent parameter updates. Candidate initial alarms include truncation above 5%, VOID above 2%, and excessive stale-group rejection; freeze the windows and thresholds after the canary.</w:t>
      </w:r>
    </w:p>
    <w:p>
      <w:pPr/>
      <w:r>
        <w:t>Three planned evaluations without meaningful development improvement trigger diagnosis rather than automatic extension. Compare SAPO and GRPO under the same SFT start, data, token budget, and verification contract if the existing SAPO implementation is usable. Keep the path supported by evidence.</w:t>
      </w:r>
    </w:p>
    <w:p>
      <w:pPr>
        <w:pStyle w:val="Heading1"/>
      </w:pPr>
      <w:r>
        <w:t>13 Asynchronous execution and recovery</w:t>
      </w:r>
    </w:p>
    <w:p>
      <w:pPr>
        <w:pStyle w:val="Heading2"/>
      </w:pPr>
      <w:r>
        <w:t>13.1 Architecture and initial operating mode</w:t>
      </w:r>
    </w:p>
    <w:p>
      <w:pPr/>
      <w:r>
        <w:t>First validate a synchronous complete-group loop. Then separate verification, and separate hardware pools only when the measured bottleneck warrants it. A limited-device profile may alternate rollout and learning while retaining behavior log probabilities and immutable model identities.</w:t>
      </w:r>
    </w:p>
    <w:p>
      <w:pPr>
        <w:jc w:val="center"/>
      </w:pPr>
      <w:r>
        <w:drawing>
          <wp:inline xmlns:a="http://schemas.openxmlformats.org/drawingml/2006/main" xmlns:pic="http://schemas.openxmlformats.org/drawingml/2006/picture">
            <wp:extent cx="6035040" cy="5867400"/>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10"/>
                    <a:stretch>
                      <a:fillRect/>
                    </a:stretch>
                  </pic:blipFill>
                  <pic:spPr>
                    <a:xfrm>
                      <a:off x="0" y="0"/>
                      <a:ext cx="6035040" cy="5867400"/>
                    </a:xfrm>
                    <a:prstGeom prst="rect"/>
                  </pic:spPr>
                </pic:pic>
              </a:graphicData>
            </a:graphic>
          </wp:inline>
        </w:drawing>
      </w:r>
    </w:p>
    <w:p>
      <w:pPr/>
      <w:r>
        <w:t>The candidate cannot write its reward, evidence status, or policy identity. Transport queues and object stores do not replace a durable ownership and consumption ledger. Ray object storage alone is not a durable replay log.</w:t>
      </w:r>
    </w:p>
    <w:p>
      <w:pPr>
        <w:pStyle w:val="Heading2"/>
      </w:pPr>
      <w:r>
        <w:t>13.2 Group and policy consistency</w:t>
      </w:r>
    </w:p>
    <w:p>
      <w:pPr/>
      <w:r>
        <w:t>The group key contains task, public prompt hash, contract hash, behavior policy, generation configuration, and group number. Every sample index must be present exactly once. Default point mode requires all G finite rewards; model failures are legitimate members, but unresolved null rewards block the group. Research interval mode requires all G valid intervals, the error-budget ledger, and its separately authorized objective. VOID still blocks both modes.</w:t>
      </w:r>
    </w:p>
    <w:p>
      <w:pPr/>
      <w:r>
        <w:t>Begin with zero policy lag. After a valid synchronous baseline, a separate experiment may allow one published version and at most one optimizer step of lag, plus a measured age limit. An initial 300-second age cap is a candidate setting. Version counts alone do not bound distribution shift.</w:t>
      </w:r>
    </w:p>
    <w:p>
      <w:pPr/>
      <w:r>
        <w:t xml:space="preserve">Compute unclipped token-ratio P99 and maximum, clipping fraction, and </w:t>
      </w:r>
      <w:r>
        <w:rPr>
          <w:rFonts w:ascii="DejaVu Sans Mono" w:hAnsi="DejaVu Sans Mono" w:eastAsia="DejaVu Sans"/>
          <w:sz w:val="17"/>
        </w:rPr>
        <w:t>ESS_token/M = (Σρ)²/(MΣρ²)</w:t>
      </w:r>
      <w:r>
        <w:t xml:space="preserve"> on generated tokens. This ESS diagnoses weight concentration, not independent trajectory sample size. Candidate thresholds after calibration are ESS fraction at least 0.5, clipping fraction at most 0.2, maximum ratio at most 10, and full-vocabulary behavior KL at most 0.02 nats/token on the recorded histories. Rejected groups and their families remain in accounting. These heuristics do not establish unbiased off-policy learning.</w:t>
      </w:r>
    </w:p>
    <w:p>
      <w:pPr/>
      <w:r>
        <w:t>Never reconstruct behavior log probabilities from current weights. Validate log-probability agreement after changing runtime, precision, sampling, or adapter handling. Version every prefix cache. Freeze a behavior policy during generation of an entire group, and accept new weights only between groups. Recompute the research bound at consumption, because the current ratios may have changed.</w:t>
      </w:r>
    </w:p>
    <w:p>
      <w:pPr>
        <w:pStyle w:val="Heading2"/>
      </w:pPr>
      <w:r>
        <w:t>13.3 Backpressure and exactly accounted recovery</w:t>
      </w:r>
    </w:p>
    <w:p>
      <w:pPr/>
      <w:r>
        <w:t>Bound queues, in-flight groups, per-family concurrency, tokens, and storage. Stop new rollout at high watermarks. Use at-least-once message transport with idempotent processing, content-addressed evidence, and consumption records tied atomically to checkpoint state. Retain group IDs and the committed consumption watermark; replay from the last complete checkpoint without applying the same group twice to the recovered state.</w:t>
      </w:r>
    </w:p>
    <w:p>
      <w:pPr/>
      <w:r>
        <w:t>Cache verification only when candidate, contract, verifier image, tolerance, seed policy, and environment match. For statistical evidence, record cumulative sample identities; a cache hit must not be treated as independent new evidence. Allocation cannot repeatedly spend the same shots as fresh observations.</w:t>
      </w:r>
    </w:p>
    <w:p>
      <w:pPr/>
      <w:r>
        <w:t>Write checkpoint shards, adapters, optimizer, scheduler, RNG, sampler, curriculum, and ledger state to a temporary version, validate them, then publish a completion marker and atomic pointer. Rollout workers acknowledge hashes and pass a fixed probe before serving new groups. Incomplete synchronization uses the previous complete revision or pauses serving.</w:t>
      </w:r>
    </w:p>
    <w:p>
      <w:pPr>
        <w:pStyle w:val="Heading2"/>
      </w:pPr>
      <w:r>
        <w:t>13.4 Remote jobs and efficiency</w:t>
      </w:r>
    </w:p>
    <w:p>
      <w:pPr/>
      <w:r>
        <w:t>Use persistent job identities and structured launch/status/cancel/resume results. An SSH or API disconnection does not imply a stopped training job. Query the remote job and committed checkpoints before reconnecting or relaunching. Avoid duplicate experiments.</w:t>
      </w:r>
    </w:p>
    <w:p>
      <w:pPr/>
      <w:r>
        <w:t>Progress means optimizer steps, consumed tokens, complete checkpoints, and valid evaluations. A heartbeat proves only liveness. Diagnose zero progress using stack traces, queues, communication, and storage before retrying. Report rollout throughput, verifier latency, learner throughput, wait time, replay cost, stale rejection, and total cost. Define hardware utilization and MFU separately; report MFU as unknown when the MoE FLOP accounting is unreliable.</w:t>
      </w:r>
    </w:p>
    <w:p>
      <w:pPr>
        <w:pStyle w:val="Heading1"/>
      </w:pPr>
      <w:r>
        <w:t>14 Tool interaction and zero tool execution</w:t>
      </w:r>
    </w:p>
    <w:p>
      <w:pPr/>
      <w:r>
        <w:t xml:space="preserve">Enable tool RL only after the single-turn model and verifier lifecycle work. Begin with bounded </w:t>
      </w:r>
      <w:r>
        <w:rPr>
          <w:rFonts w:ascii="DejaVu Sans Mono" w:hAnsi="DejaVu Sans Mono" w:eastAsia="DejaVu Sans"/>
          <w:sz w:val="17"/>
        </w:rPr>
        <w:t>compile</w:t>
      </w:r>
      <w:r>
        <w:t xml:space="preserve">, </w:t>
      </w:r>
      <w:r>
        <w:rPr>
          <w:rFonts w:ascii="DejaVu Sans Mono" w:hAnsi="DejaVu Sans Mono" w:eastAsia="DejaVu Sans"/>
          <w:sz w:val="17"/>
        </w:rPr>
        <w:t>simulate</w:t>
      </w:r>
      <w:r>
        <w:t xml:space="preserve">, </w:t>
      </w:r>
      <w:r>
        <w:rPr>
          <w:rFonts w:ascii="DejaVu Sans Mono" w:hAnsi="DejaVu Sans Mono" w:eastAsia="DejaVu Sans"/>
          <w:sz w:val="17"/>
        </w:rPr>
        <w:t>check_proof</w:t>
      </w:r>
      <w:r>
        <w:t xml:space="preserve">, and </w:t>
      </w:r>
      <w:r>
        <w:rPr>
          <w:rFonts w:ascii="DejaVu Sans Mono" w:hAnsi="DejaVu Sans Mono" w:eastAsia="DejaVu Sans"/>
          <w:sz w:val="17"/>
        </w:rPr>
        <w:t>inspect_signature</w:t>
      </w:r>
      <w:r>
        <w:t xml:space="preserve"> calls. Start at three calls and evaluate a five-call budget separately. Tools expose public diagnostics and authorized feedback, while the final judge keeps hidden tests and reference answers private. Truncate irrelevant paths and outputs and preserve tool provenance.</w:t>
      </w:r>
    </w:p>
    <w:p>
      <w:pPr/>
      <w:r>
        <w:t>Use terminal correctness with a small call cost that preserves a gap between success and failure; for example, successful episodes remain at least 0.9 and failed episodes at most 0.2. Define a separate episode objective: average clipped action-token terms within each episode and then average equally across G episodes. Use terminal reward minus the group mean and the same explicit reference-KL definition on action histories. Tool feedback is context, not a target for policy loss.</w:t>
      </w:r>
    </w:p>
    <w:p>
      <w:pPr/>
      <w:r>
        <w:t>This episode normalization differs from the fixed-cap single-turn objective and requires a length-bias comparison. A discount such as 0.9 is an optional ablation with explicitly defined turn returns; do not add the final success reward repeatedly at every turn.</w:t>
      </w:r>
    </w:p>
    <w:p>
      <w:pPr/>
      <w:r>
        <w:t>Preserve full tool transcripts and unsuccessful attempts. Distillation uses independently checked successful targets and, in the research branch, verified witness views. At zero-tool evaluation the model receives no runtime verifier or repair feedback. Offline scoring after completion is allowed and must be distinguished from inference-time tool access. Match total tokens, tool calls, and wall time when comparing base and trained agents.</w:t>
      </w:r>
    </w:p>
    <w:p>
      <w:pPr>
        <w:pStyle w:val="Heading1"/>
      </w:pPr>
      <w:r>
        <w:t>15 Independent evaluation and promotion</w:t>
      </w:r>
    </w:p>
    <w:p>
      <w:pPr>
        <w:pStyle w:val="Heading2"/>
      </w:pPr>
      <w:r>
        <w:t>15.1 Matched baselines</w:t>
      </w:r>
    </w:p>
    <w:p>
      <w:pPr/>
      <w:r>
        <w:t xml:space="preserve">Evaluate official weights, a prompt-matched official model, the existing project candidate after identity verification, SFT, single-turn RL, the tool model, and the distilled zero-tool model. The primary control </w:t>
      </w:r>
      <w:r>
        <w:rPr>
          <w:rFonts w:ascii="DejaVu Sans Mono" w:hAnsi="DejaVu Sans Mono" w:eastAsia="DejaVu Sans"/>
          <w:sz w:val="17"/>
        </w:rPr>
        <w:t>B_matched</w:t>
      </w:r>
      <w:r>
        <w:t xml:space="preserve"> uses the official pinned weights with the same prompt, template, reasoning mode, decoding, length, and tool budget as the candidate. A weaker raw prompt is an additional control only.</w:t>
      </w:r>
    </w:p>
    <w:p>
      <w:pPr/>
      <w:r>
        <w:t>Run a separate base/candidate × no-augmentation/same-augmentation comparison for RAG or tools. Public repository examples are development regressions; they cannot substitute for a new sealed benchmark. Keep proprietary or external-teacher comparisons separate from the causal post-training comparison.</w:t>
      </w:r>
    </w:p>
    <w:p>
      <w:pPr>
        <w:pStyle w:val="Heading2"/>
      </w:pPr>
      <w:r>
        <w:t>15.2 Scoring and missing measurements</w:t>
      </w:r>
    </w:p>
    <w:p>
      <w:pPr/>
      <w:r>
        <w:t xml:space="preserve">Define </w:t>
      </w:r>
      <w:r>
        <w:rPr>
          <w:rFonts w:ascii="DejaVu Sans Mono" w:hAnsi="DejaVu Sans Mono" w:eastAsia="DejaVu Sans"/>
          <w:sz w:val="17"/>
        </w:rPr>
        <w:t>S = 0.5 S_science + 0.5 S_code</w:t>
      </w:r>
      <w:r>
        <w:t xml:space="preserve">, using predeclared family macro averages within each category. Separate expert scores for open-ended research analysis from strict executable correctness. Report deterministic first-answer accuracy and stochastic Pass@1 separately. For n sampled candidates with c correct, estimate Pass@k by </w:t>
      </w:r>
      <w:r>
        <w:rPr>
          <w:rFonts w:ascii="DejaVu Sans Mono" w:hAnsi="DejaVu Sans Mono" w:eastAsia="DejaVu Sans"/>
          <w:sz w:val="17"/>
        </w:rPr>
        <w:t>1 - C(n-c,k)/C(n,k)</w:t>
      </w:r>
      <w:r>
        <w:t xml:space="preserve"> only when n≥k and the sampling protocol matches; Pass@16 requires actual sampling.</w:t>
      </w:r>
    </w:p>
    <w:p>
      <w:pPr/>
      <w:r>
        <w:t>Invalid model output and candidate-caused budget failures count as failures. Retry infrastructure VOID under a fixed policy and disclose residual VOID/UNKNOWN counts. Do not promote using a denominator that excludes unresolved hard tasks. Report a conservative lower bound and full coverage, and withhold formal primary conclusions while required measurement cells remain unresolved.</w:t>
      </w:r>
    </w:p>
    <w:p>
      <w:pPr>
        <w:pStyle w:val="Heading2"/>
      </w:pPr>
      <w:r>
        <w:t>15.3 Proposed acceptance contract</w:t>
      </w:r>
    </w:p>
    <w:p>
      <w:pPr/>
      <w:r>
        <w:t>Freeze all thresholds before training and final testing. Suggested project targets are:</w:t>
      </w:r>
    </w:p>
    <w:p>
      <w:pPr>
        <w:ind w:left="288" w:hanging="288"/>
      </w:pPr>
      <w:r>
        <w:t>1. A main-score gain of at least the smaller of 10 percentage points and 20% of the baseline error rate, with a positive lower bound of the paired family-bootstrap 95% interval. Derive the target from an independent baseline pilot; use paired sealed-task results for the final comparison.</w:t>
      </w:r>
    </w:p>
    <w:p>
      <w:pPr>
        <w:ind w:left="288" w:hanging="288"/>
      </w:pPr>
      <w:r>
        <w:t>2. Positive science and coding gains separately, supported by intervals. Otherwise state the narrower domain result achieved.</w:t>
      </w:r>
    </w:p>
    <w:p>
      <w:pPr>
        <w:ind w:left="288" w:hanging="288"/>
      </w:pPr>
      <w:r>
        <w:t>3. General mathematics, code, and tool-use noninferiority within a proposed two-percentage-point margin, with paired uncertainty and predefined multiplicity handling.</w:t>
      </w:r>
    </w:p>
    <w:p>
      <w:pPr>
        <w:ind w:left="288" w:hanging="288"/>
      </w:pPr>
      <w:r>
        <w:t>4. No unexplained systematic regression in priority theory, phase, mapping, or QEC families. Freeze any practical family-specific tolerance in advance.</w:t>
      </w:r>
    </w:p>
    <w:p>
      <w:pPr>
        <w:ind w:left="288" w:hanging="288"/>
      </w:pPr>
      <w:r>
        <w:t>5. Closed high-severity known verifier and reward vulnerabilities, successful fresh-process load and adapter checks, and reproducible recovery.</w:t>
      </w:r>
    </w:p>
    <w:p>
      <w:pPr/>
      <w:r>
        <w:t>These are engineering promotion targets, not universal publication thresholds. Research claims follow the specific comparisons in Section 6. Independent blind review of scientific answers should score assumptions, derivation, counterexamples, citations, and reproducibility. An LLM judge can triage but is not the sole ground truth for scientific discovery.</w:t>
      </w:r>
    </w:p>
    <w:p>
      <w:pPr>
        <w:pStyle w:val="Heading1"/>
      </w:pPr>
      <w:r>
        <w:t>16 Adversarial and fault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384"/>
        <w:gridCol w:w="6696"/>
      </w:tblGrid>
      <w:tr>
        <w:trPr>
          <w:cantSplit/>
          <w:tblHeader/>
        </w:trPr>
        <w:tc>
          <w:tcPr>
            <w:tcW w:type="dxa" w:w="3384"/>
            <w:vAlign w:val="center"/>
            <w:shd w:fill="DCE6EF"/>
          </w:tcPr>
          <w:p>
            <w:pPr>
              <w:pStyle w:val="TableText"/>
            </w:pPr>
            <w:r>
              <w:rPr>
                <w:b/>
                <w:color w:val="000000"/>
              </w:rPr>
              <w:t>Failure or attack</w:t>
            </w:r>
          </w:p>
        </w:tc>
        <w:tc>
          <w:tcPr>
            <w:tcW w:type="dxa" w:w="6696"/>
            <w:vAlign w:val="center"/>
            <w:shd w:fill="DCE6EF"/>
          </w:tcPr>
          <w:p>
            <w:pPr>
              <w:pStyle w:val="TableText"/>
            </w:pPr>
            <w:r>
              <w:rPr>
                <w:b/>
                <w:color w:val="000000"/>
              </w:rPr>
              <w:t>Required behavior</w:t>
            </w:r>
          </w:p>
        </w:tc>
      </w:tr>
      <w:tr>
        <w:trPr>
          <w:cantSplit/>
        </w:trPr>
        <w:tc>
          <w:tcPr>
            <w:tcW w:type="dxa" w:w="3384"/>
            <w:vAlign w:val="center"/>
          </w:tcPr>
          <w:p>
            <w:pPr>
              <w:pStyle w:val="TableText"/>
            </w:pPr>
            <w:r>
              <w:t>Changed theorem type, new axiom, or shadowed definition</w:t>
            </w:r>
          </w:p>
        </w:tc>
        <w:tc>
          <w:tcPr>
            <w:tcW w:type="dxa" w:w="6696"/>
            <w:vAlign w:val="center"/>
          </w:tcPr>
          <w:p>
            <w:pPr>
              <w:pStyle w:val="TableText"/>
            </w:pPr>
            <w:r>
              <w:t>Trusted type and dependency audit rejects it</w:t>
            </w:r>
          </w:p>
        </w:tc>
      </w:tr>
      <w:tr>
        <w:trPr>
          <w:cantSplit/>
        </w:trPr>
        <w:tc>
          <w:tcPr>
            <w:tcW w:type="dxa" w:w="3384"/>
            <w:vAlign w:val="center"/>
            <w:shd w:fill="F5F7F9"/>
          </w:tcPr>
          <w:p>
            <w:pPr>
              <w:pStyle w:val="TableText"/>
            </w:pPr>
            <w:r>
              <w:t>Forged proof success or metaprogram escape</w:t>
            </w:r>
          </w:p>
        </w:tc>
        <w:tc>
          <w:tcPr>
            <w:tcW w:type="dxa" w:w="6696"/>
            <w:vAlign w:val="center"/>
            <w:shd w:fill="F5F7F9"/>
          </w:tcPr>
          <w:p>
            <w:pPr>
              <w:pStyle w:val="TableText"/>
            </w:pPr>
            <w:r>
              <w:t>Candidate isolation and external proof replay prevent a positive reward</w:t>
            </w:r>
          </w:p>
        </w:tc>
      </w:tr>
      <w:tr>
        <w:trPr>
          <w:cantSplit/>
        </w:trPr>
        <w:tc>
          <w:tcPr>
            <w:tcW w:type="dxa" w:w="3384"/>
            <w:vAlign w:val="center"/>
          </w:tcPr>
          <w:p>
            <w:pPr>
              <w:pStyle w:val="TableText"/>
            </w:pPr>
            <w:r>
              <w:t>Overwritten assertions or hidden-answer reads</w:t>
            </w:r>
          </w:p>
        </w:tc>
        <w:tc>
          <w:tcPr>
            <w:tcW w:type="dxa" w:w="6696"/>
            <w:vAlign w:val="center"/>
          </w:tcPr>
          <w:p>
            <w:pPr>
              <w:pStyle w:val="TableText"/>
            </w:pPr>
            <w:r>
              <w:t>Candidate cannot alter or inspect the trusted judge</w:t>
            </w:r>
          </w:p>
        </w:tc>
      </w:tr>
      <w:tr>
        <w:trPr>
          <w:cantSplit/>
        </w:trPr>
        <w:tc>
          <w:tcPr>
            <w:tcW w:type="dxa" w:w="3384"/>
            <w:vAlign w:val="center"/>
            <w:shd w:fill="F5F7F9"/>
          </w:tcPr>
          <w:p>
            <w:pPr>
              <w:pStyle w:val="TableText"/>
            </w:pPr>
            <w:r>
              <w:t>Hard-coded output for one input</w:t>
            </w:r>
          </w:p>
        </w:tc>
        <w:tc>
          <w:tcPr>
            <w:tcW w:type="dxa" w:w="6696"/>
            <w:vAlign w:val="center"/>
            <w:shd w:fill="F5F7F9"/>
          </w:tcPr>
          <w:p>
            <w:pPr>
              <w:pStyle w:val="TableText"/>
            </w:pPr>
            <w:r>
              <w:t>Hidden-input and full-contract checks expose the mismatch</w:t>
            </w:r>
          </w:p>
        </w:tc>
      </w:tr>
      <w:tr>
        <w:trPr>
          <w:cantSplit/>
        </w:trPr>
        <w:tc>
          <w:tcPr>
            <w:tcW w:type="dxa" w:w="3384"/>
            <w:vAlign w:val="center"/>
          </w:tcPr>
          <w:p>
            <w:pPr>
              <w:pStyle w:val="TableText"/>
            </w:pPr>
            <w:r>
              <w:t>Phase, wire, classical-bit, or ancilla error</w:t>
            </w:r>
          </w:p>
        </w:tc>
        <w:tc>
          <w:tcPr>
            <w:tcW w:type="dxa" w:w="6696"/>
            <w:vAlign w:val="center"/>
          </w:tcPr>
          <w:p>
            <w:pPr>
              <w:pStyle w:val="TableText"/>
            </w:pPr>
            <w:r>
              <w:t>Contextual semantic oracle detects the declared fault</w:t>
            </w:r>
          </w:p>
        </w:tc>
      </w:tr>
      <w:tr>
        <w:trPr>
          <w:cantSplit/>
        </w:trPr>
        <w:tc>
          <w:tcPr>
            <w:tcW w:type="dxa" w:w="3384"/>
            <w:vAlign w:val="center"/>
            <w:shd w:fill="F5F7F9"/>
          </w:tcPr>
          <w:p>
            <w:pPr>
              <w:pStyle w:val="TableText"/>
            </w:pPr>
            <w:r>
              <w:t>NaN, infinity, zero reference cost, or empty circuit</w:t>
            </w:r>
          </w:p>
        </w:tc>
        <w:tc>
          <w:tcPr>
            <w:tcW w:type="dxa" w:w="6696"/>
            <w:vAlign w:val="center"/>
            <w:shd w:fill="F5F7F9"/>
          </w:tcPr>
          <w:p>
            <w:pPr>
              <w:pStyle w:val="TableText"/>
            </w:pPr>
            <w:r>
              <w:t>No unauthorized correctness or resource bonus</w:t>
            </w:r>
          </w:p>
        </w:tc>
      </w:tr>
      <w:tr>
        <w:trPr>
          <w:cantSplit/>
        </w:trPr>
        <w:tc>
          <w:tcPr>
            <w:tcW w:type="dxa" w:w="3384"/>
            <w:vAlign w:val="center"/>
          </w:tcPr>
          <w:p>
            <w:pPr>
              <w:pStyle w:val="TableText"/>
            </w:pPr>
            <w:r>
              <w:t>Duplicate evidence or replayed statistical shots</w:t>
            </w:r>
          </w:p>
        </w:tc>
        <w:tc>
          <w:tcPr>
            <w:tcW w:type="dxa" w:w="6696"/>
            <w:vAlign w:val="center"/>
          </w:tcPr>
          <w:p>
            <w:pPr>
              <w:pStyle w:val="TableText"/>
            </w:pPr>
            <w:r>
              <w:t>Deduplication prevents false confidence accumulation</w:t>
            </w:r>
          </w:p>
        </w:tc>
      </w:tr>
      <w:tr>
        <w:trPr>
          <w:cantSplit/>
        </w:trPr>
        <w:tc>
          <w:tcPr>
            <w:tcW w:type="dxa" w:w="3384"/>
            <w:vAlign w:val="center"/>
            <w:shd w:fill="F5F7F9"/>
          </w:tcPr>
          <w:p>
            <w:pPr>
              <w:pStyle w:val="TableText"/>
            </w:pPr>
            <w:r>
              <w:t>Infinite loop, fork, memory, or output abuse</w:t>
            </w:r>
          </w:p>
        </w:tc>
        <w:tc>
          <w:tcPr>
            <w:tcW w:type="dxa" w:w="6696"/>
            <w:vAlign w:val="center"/>
            <w:shd w:fill="F5F7F9"/>
          </w:tcPr>
          <w:p>
            <w:pPr>
              <w:pStyle w:val="TableText"/>
            </w:pPr>
            <w:r>
              <w:t>Quota enforcement terminates and reclaims the process tree</w:t>
            </w:r>
          </w:p>
        </w:tc>
      </w:tr>
      <w:tr>
        <w:trPr>
          <w:cantSplit/>
        </w:trPr>
        <w:tc>
          <w:tcPr>
            <w:tcW w:type="dxa" w:w="3384"/>
            <w:vAlign w:val="center"/>
          </w:tcPr>
          <w:p>
            <w:pPr>
              <w:pStyle w:val="TableText"/>
            </w:pPr>
            <w:r>
              <w:t>Lost worker, partial checkpoint, or old weight cache</w:t>
            </w:r>
          </w:p>
        </w:tc>
        <w:tc>
          <w:tcPr>
            <w:tcW w:type="dxa" w:w="6696"/>
            <w:vAlign w:val="center"/>
          </w:tcPr>
          <w:p>
            <w:pPr>
              <w:pStyle w:val="TableText"/>
            </w:pPr>
            <w:r>
              <w:t>Idempotent recovery preserves group and model identities</w:t>
            </w:r>
          </w:p>
        </w:tc>
      </w:tr>
      <w:tr>
        <w:trPr>
          <w:cantSplit/>
        </w:trPr>
        <w:tc>
          <w:tcPr>
            <w:tcW w:type="dxa" w:w="3384"/>
            <w:vAlign w:val="center"/>
            <w:shd w:fill="F5F7F9"/>
          </w:tcPr>
          <w:p>
            <w:pPr>
              <w:pStyle w:val="TableText"/>
            </w:pPr>
            <w:r>
              <w:t>Fast-task selection or repeated unknown groups</w:t>
            </w:r>
          </w:p>
        </w:tc>
        <w:tc>
          <w:tcPr>
            <w:tcW w:type="dxa" w:w="6696"/>
            <w:vAlign w:val="center"/>
            <w:shd w:fill="F5F7F9"/>
          </w:tcPr>
          <w:p>
            <w:pPr>
              <w:pStyle w:val="TableText"/>
            </w:pPr>
            <w:r>
              <w:t>Family-coverage and budget audits surface the bias</w:t>
            </w:r>
          </w:p>
        </w:tc>
      </w:tr>
      <w:tr>
        <w:trPr>
          <w:cantSplit/>
        </w:trPr>
        <w:tc>
          <w:tcPr>
            <w:tcW w:type="dxa" w:w="3384"/>
            <w:vAlign w:val="center"/>
          </w:tcPr>
          <w:p>
            <w:pPr>
              <w:pStyle w:val="TableText"/>
            </w:pPr>
            <w:r>
              <w:t>Sealed task in teacher context or RAG</w:t>
            </w:r>
          </w:p>
        </w:tc>
        <w:tc>
          <w:tcPr>
            <w:tcW w:type="dxa" w:w="6696"/>
            <w:vAlign w:val="center"/>
          </w:tcPr>
          <w:p>
            <w:pPr>
              <w:pStyle w:val="TableText"/>
            </w:pPr>
            <w:r>
              <w:t>Contaminated evaluation is invalidated</w:t>
            </w:r>
          </w:p>
        </w:tc>
      </w:tr>
    </w:tbl>
    <w:p>
      <w:pPr>
        <w:spacing w:after="40" w:before="0" w:line="240" w:lineRule="auto"/>
      </w:pPr>
      <w:r>
        <w:rPr>
          <w:sz w:val="4"/>
        </w:rPr>
      </w:r>
    </w:p>
    <w:p>
      <w:pPr/>
      <w:r>
        <w:t xml:space="preserve">Record attack-suite version, attempted cases, bypasses, false rejections, and unresolved classes. For a hand-built or adaptive suite, report its finite counts. Only under a fixed independent sampling distribution does zero bypasses in n trials imply the usual one-sided 95% upper bound </w:t>
      </w:r>
      <w:r>
        <w:rPr>
          <w:rFonts w:ascii="DejaVu Sans Mono" w:hAnsi="DejaVu Sans Mono" w:eastAsia="DejaVu Sans"/>
          <w:sz w:val="17"/>
        </w:rPr>
        <w:t>1-0.05^(1/n)</w:t>
      </w:r>
      <w:r>
        <w:t xml:space="preserve">, approximately </w:t>
      </w:r>
      <w:r>
        <w:rPr>
          <w:rFonts w:ascii="DejaVu Sans Mono" w:hAnsi="DejaVu Sans Mono" w:eastAsia="DejaVu Sans"/>
          <w:sz w:val="17"/>
        </w:rPr>
        <w:t>3/n</w:t>
      </w:r>
      <w:r>
        <w:t>. It is not a guarantee against unseen attacks.</w:t>
      </w:r>
    </w:p>
    <w:p>
      <w:pPr/>
      <w:r>
        <w:t>Audit new high-reward behaviors during training. On a verifier defect, quarantine affected data and checkpoints, preserve the reproduction, repair the trusted component, and rescore affected candidates under a new contract. Retain old results as invalidated rather than silently rewriting history.</w:t>
      </w:r>
    </w:p>
    <w:p>
      <w:pPr>
        <w:pStyle w:val="Heading1"/>
      </w:pPr>
      <w:r>
        <w:t>17 Implementation gates and task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Gate</w:t>
            </w:r>
          </w:p>
        </w:tc>
        <w:tc>
          <w:tcPr>
            <w:tcW w:type="dxa" w:w="3816"/>
            <w:vAlign w:val="center"/>
            <w:shd w:fill="DCE6EF"/>
          </w:tcPr>
          <w:p>
            <w:pPr>
              <w:pStyle w:val="TableText"/>
            </w:pPr>
            <w:r>
              <w:rPr>
                <w:b/>
                <w:color w:val="000000"/>
              </w:rPr>
              <w:t>Required evidence</w:t>
            </w:r>
          </w:p>
        </w:tc>
        <w:tc>
          <w:tcPr>
            <w:tcW w:type="dxa" w:w="3888"/>
            <w:vAlign w:val="center"/>
            <w:shd w:fill="DCE6EF"/>
          </w:tcPr>
          <w:p>
            <w:pPr>
              <w:pStyle w:val="TableText"/>
            </w:pPr>
            <w:r>
              <w:rPr>
                <w:b/>
                <w:color w:val="000000"/>
              </w:rPr>
              <w:t>Decision on failure</w:t>
            </w:r>
          </w:p>
        </w:tc>
      </w:tr>
      <w:tr>
        <w:trPr>
          <w:cantSplit/>
        </w:trPr>
        <w:tc>
          <w:tcPr>
            <w:tcW w:type="dxa" w:w="2376"/>
            <w:vAlign w:val="center"/>
          </w:tcPr>
          <w:p>
            <w:pPr>
              <w:pStyle w:val="TableText"/>
            </w:pPr>
            <w:r>
              <w:t>G0 Inventory and contract</w:t>
            </w:r>
          </w:p>
        </w:tc>
        <w:tc>
          <w:tcPr>
            <w:tcW w:type="dxa" w:w="3816"/>
            <w:vAlign w:val="center"/>
          </w:tcPr>
          <w:p>
            <w:pPr>
              <w:pStyle w:val="TableText"/>
            </w:pPr>
            <w:r>
              <w:t>Model/environment manifests, repository audit, bounded budget</w:t>
            </w:r>
          </w:p>
        </w:tc>
        <w:tc>
          <w:tcPr>
            <w:tcW w:type="dxa" w:w="3888"/>
            <w:vAlign w:val="center"/>
          </w:tcPr>
          <w:p>
            <w:pPr>
              <w:pStyle w:val="TableText"/>
            </w:pPr>
            <w:r>
              <w:t>Mark missing facts and continue feasible offline work</w:t>
            </w:r>
          </w:p>
        </w:tc>
      </w:tr>
      <w:tr>
        <w:trPr>
          <w:cantSplit/>
        </w:trPr>
        <w:tc>
          <w:tcPr>
            <w:tcW w:type="dxa" w:w="2376"/>
            <w:vAlign w:val="center"/>
            <w:shd w:fill="F5F7F9"/>
          </w:tcPr>
          <w:p>
            <w:pPr>
              <w:pStyle w:val="TableText"/>
            </w:pPr>
            <w:r>
              <w:t>G1 Trusted verification</w:t>
            </w:r>
          </w:p>
        </w:tc>
        <w:tc>
          <w:tcPr>
            <w:tcW w:type="dxa" w:w="3816"/>
            <w:vAlign w:val="center"/>
            <w:shd w:fill="F5F7F9"/>
          </w:tcPr>
          <w:p>
            <w:pPr>
              <w:pStyle w:val="TableText"/>
            </w:pPr>
            <w:r>
              <w:t>Positive, negative, semantic, and tamper fixtures</w:t>
            </w:r>
          </w:p>
        </w:tc>
        <w:tc>
          <w:tcPr>
            <w:tcW w:type="dxa" w:w="3888"/>
            <w:vAlign w:val="center"/>
            <w:shd w:fill="F5F7F9"/>
          </w:tcPr>
          <w:p>
            <w:pPr>
              <w:pStyle w:val="TableText"/>
            </w:pPr>
            <w:r>
              <w:t>Fix verification before producing positive labels</w:t>
            </w:r>
          </w:p>
        </w:tc>
      </w:tr>
      <w:tr>
        <w:trPr>
          <w:cantSplit/>
        </w:trPr>
        <w:tc>
          <w:tcPr>
            <w:tcW w:type="dxa" w:w="2376"/>
            <w:vAlign w:val="center"/>
          </w:tcPr>
          <w:p>
            <w:pPr>
              <w:pStyle w:val="TableText"/>
            </w:pPr>
            <w:r>
              <w:t>G2 Baseline and data</w:t>
            </w:r>
          </w:p>
        </w:tc>
        <w:tc>
          <w:tcPr>
            <w:tcW w:type="dxa" w:w="3816"/>
            <w:vAlign w:val="center"/>
          </w:tcPr>
          <w:p>
            <w:pPr>
              <w:pStyle w:val="TableText"/>
            </w:pPr>
            <w:r>
              <w:t>Matched baseline, lawful sources, disjoint roots, complete counts</w:t>
            </w:r>
          </w:p>
        </w:tc>
        <w:tc>
          <w:tcPr>
            <w:tcW w:type="dxa" w:w="3888"/>
            <w:vAlign w:val="center"/>
          </w:tcPr>
          <w:p>
            <w:pPr>
              <w:pStyle w:val="TableText"/>
            </w:pPr>
            <w:r>
              <w:t>Isolate faulty sources or families</w:t>
            </w:r>
          </w:p>
        </w:tc>
      </w:tr>
      <w:tr>
        <w:trPr>
          <w:cantSplit/>
        </w:trPr>
        <w:tc>
          <w:tcPr>
            <w:tcW w:type="dxa" w:w="2376"/>
            <w:vAlign w:val="center"/>
            <w:shd w:fill="F5F7F9"/>
          </w:tcPr>
          <w:p>
            <w:pPr>
              <w:pStyle w:val="TableText"/>
            </w:pPr>
            <w:r>
              <w:t>G3 Training lifecycle</w:t>
            </w:r>
          </w:p>
        </w:tc>
        <w:tc>
          <w:tcPr>
            <w:tcW w:type="dxa" w:w="3816"/>
            <w:vAlign w:val="center"/>
            <w:shd w:fill="F5F7F9"/>
          </w:tcPr>
          <w:p>
            <w:pPr>
              <w:pStyle w:val="TableText"/>
            </w:pPr>
            <w:r>
              <w:t>Load, update, save, terminate, resume, evaluate</w:t>
            </w:r>
          </w:p>
        </w:tc>
        <w:tc>
          <w:tcPr>
            <w:tcW w:type="dxa" w:w="3888"/>
            <w:vAlign w:val="center"/>
            <w:shd w:fill="F5F7F9"/>
          </w:tcPr>
          <w:p>
            <w:pPr>
              <w:pStyle w:val="TableText"/>
            </w:pPr>
            <w:r>
              <w:t>Resolve compatibility before expansion</w:t>
            </w:r>
          </w:p>
        </w:tc>
      </w:tr>
      <w:tr>
        <w:trPr>
          <w:cantSplit/>
        </w:trPr>
        <w:tc>
          <w:tcPr>
            <w:tcW w:type="dxa" w:w="2376"/>
            <w:vAlign w:val="center"/>
          </w:tcPr>
          <w:p>
            <w:pPr>
              <w:pStyle w:val="TableText"/>
            </w:pPr>
            <w:r>
              <w:t>G4 SFT candidate</w:t>
            </w:r>
          </w:p>
        </w:tc>
        <w:tc>
          <w:tcPr>
            <w:tcW w:type="dxa" w:w="3816"/>
            <w:vAlign w:val="center"/>
          </w:tcPr>
          <w:p>
            <w:pPr>
              <w:pStyle w:val="TableText"/>
            </w:pPr>
            <w:r>
              <w:t>Development gains and retention</w:t>
            </w:r>
          </w:p>
        </w:tc>
        <w:tc>
          <w:tcPr>
            <w:tcW w:type="dxa" w:w="3888"/>
            <w:vAlign w:val="center"/>
          </w:tcPr>
          <w:p>
            <w:pPr>
              <w:pStyle w:val="TableText"/>
            </w:pPr>
            <w:r>
              <w:t>Diagnose data, coverage, and labels</w:t>
            </w:r>
          </w:p>
        </w:tc>
      </w:tr>
      <w:tr>
        <w:trPr>
          <w:cantSplit/>
        </w:trPr>
        <w:tc>
          <w:tcPr>
            <w:tcW w:type="dxa" w:w="2376"/>
            <w:vAlign w:val="center"/>
            <w:shd w:fill="F5F7F9"/>
          </w:tcPr>
          <w:p>
            <w:pPr>
              <w:pStyle w:val="TableText"/>
            </w:pPr>
            <w:r>
              <w:t>G5 RL candidate</w:t>
            </w:r>
          </w:p>
        </w:tc>
        <w:tc>
          <w:tcPr>
            <w:tcW w:type="dxa" w:w="3816"/>
            <w:vAlign w:val="center"/>
            <w:shd w:fill="F5F7F9"/>
          </w:tcPr>
          <w:p>
            <w:pPr>
              <w:pStyle w:val="TableText"/>
            </w:pPr>
            <w:r>
              <w:t>Gains beyond SFT with reward and stability audits</w:t>
            </w:r>
          </w:p>
        </w:tc>
        <w:tc>
          <w:tcPr>
            <w:tcW w:type="dxa" w:w="3888"/>
            <w:vAlign w:val="center"/>
            <w:shd w:fill="F5F7F9"/>
          </w:tcPr>
          <w:p>
            <w:pPr>
              <w:pStyle w:val="TableText"/>
            </w:pPr>
            <w:r>
              <w:t>Roll back or reject the hypothesis</w:t>
            </w:r>
          </w:p>
        </w:tc>
      </w:tr>
      <w:tr>
        <w:trPr>
          <w:cantSplit/>
        </w:trPr>
        <w:tc>
          <w:tcPr>
            <w:tcW w:type="dxa" w:w="2376"/>
            <w:vAlign w:val="center"/>
          </w:tcPr>
          <w:p>
            <w:pPr>
              <w:pStyle w:val="TableText"/>
            </w:pPr>
            <w:r>
              <w:t>G6 Research branches</w:t>
            </w:r>
          </w:p>
        </w:tc>
        <w:tc>
          <w:tcPr>
            <w:tcW w:type="dxa" w:w="3816"/>
            <w:vAlign w:val="center"/>
          </w:tcPr>
          <w:p>
            <w:pPr>
              <w:pStyle w:val="TableText"/>
            </w:pPr>
            <w:r>
              <w:t>Replay study, interval audits, contextual and witness ablations</w:t>
            </w:r>
          </w:p>
        </w:tc>
        <w:tc>
          <w:tcPr>
            <w:tcW w:type="dxa" w:w="3888"/>
            <w:vAlign w:val="center"/>
          </w:tcPr>
          <w:p>
            <w:pPr>
              <w:pStyle w:val="TableText"/>
            </w:pPr>
            <w:r>
              <w:t>Keep only supported mechanisms</w:t>
            </w:r>
          </w:p>
        </w:tc>
      </w:tr>
      <w:tr>
        <w:trPr>
          <w:cantSplit/>
        </w:trPr>
        <w:tc>
          <w:tcPr>
            <w:tcW w:type="dxa" w:w="2376"/>
            <w:vAlign w:val="center"/>
            <w:shd w:fill="F5F7F9"/>
          </w:tcPr>
          <w:p>
            <w:pPr>
              <w:pStyle w:val="TableText"/>
            </w:pPr>
            <w:r>
              <w:t>G7 Final candidate</w:t>
            </w:r>
          </w:p>
        </w:tc>
        <w:tc>
          <w:tcPr>
            <w:tcW w:type="dxa" w:w="3816"/>
            <w:vAlign w:val="center"/>
            <w:shd w:fill="F5F7F9"/>
          </w:tcPr>
          <w:p>
            <w:pPr>
              <w:pStyle w:val="TableText"/>
            </w:pPr>
            <w:r>
              <w:t>Sealed evaluation, model card, reproduction and recovery</w:t>
            </w:r>
          </w:p>
        </w:tc>
        <w:tc>
          <w:tcPr>
            <w:tcW w:type="dxa" w:w="3888"/>
            <w:vAlign w:val="center"/>
            <w:shd w:fill="F5F7F9"/>
          </w:tcPr>
          <w:p>
            <w:pPr>
              <w:pStyle w:val="TableText"/>
            </w:pPr>
            <w:r>
              <w:t>Report unmet criteria; do not promote</w:t>
            </w:r>
          </w:p>
        </w:tc>
      </w:tr>
    </w:tbl>
    <w:p>
      <w:pPr>
        <w:spacing w:after="40" w:before="0" w:line="240" w:lineRule="auto"/>
      </w:pPr>
      <w:r>
        <w:rPr>
          <w:sz w:val="4"/>
        </w:rPr>
      </w:r>
    </w:p>
    <w:p>
      <w:pPr/>
      <w:r>
        <w:t>Assign one owner and one writer to each mutable component. Independently review reward math, verifier boundaries, split logic, and claim-bearing analysis. Sources, CPU fixtures, and environment discovery can proceed independently; training follows its evidence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3816"/>
        <w:gridCol w:w="3888"/>
      </w:tblGrid>
      <w:tr>
        <w:trPr>
          <w:cantSplit/>
          <w:tblHeader/>
        </w:trPr>
        <w:tc>
          <w:tcPr>
            <w:tcW w:type="dxa" w:w="2376"/>
            <w:vAlign w:val="center"/>
            <w:shd w:fill="DCE6EF"/>
          </w:tcPr>
          <w:p>
            <w:pPr>
              <w:pStyle w:val="TableText"/>
            </w:pPr>
            <w:r>
              <w:rPr>
                <w:b/>
                <w:color w:val="000000"/>
              </w:rPr>
              <w:t>Work package</w:t>
            </w:r>
          </w:p>
        </w:tc>
        <w:tc>
          <w:tcPr>
            <w:tcW w:type="dxa" w:w="3816"/>
            <w:vAlign w:val="center"/>
            <w:shd w:fill="DCE6EF"/>
          </w:tcPr>
          <w:p>
            <w:pPr>
              <w:pStyle w:val="TableText"/>
            </w:pPr>
            <w:r>
              <w:rPr>
                <w:b/>
                <w:color w:val="000000"/>
              </w:rPr>
              <w:t>Implementation output</w:t>
            </w:r>
          </w:p>
        </w:tc>
        <w:tc>
          <w:tcPr>
            <w:tcW w:type="dxa" w:w="3888"/>
            <w:vAlign w:val="center"/>
            <w:shd w:fill="DCE6EF"/>
          </w:tcPr>
          <w:p>
            <w:pPr>
              <w:pStyle w:val="TableText"/>
            </w:pPr>
            <w:r>
              <w:rPr>
                <w:b/>
                <w:color w:val="000000"/>
              </w:rPr>
              <w:t>Acceptance artifact</w:t>
            </w:r>
          </w:p>
        </w:tc>
      </w:tr>
      <w:tr>
        <w:trPr>
          <w:cantSplit/>
        </w:trPr>
        <w:tc>
          <w:tcPr>
            <w:tcW w:type="dxa" w:w="2376"/>
            <w:vAlign w:val="center"/>
          </w:tcPr>
          <w:p>
            <w:pPr>
              <w:pStyle w:val="TableText"/>
            </w:pPr>
            <w:r>
              <w:t>T01 Audit and preflight</w:t>
            </w:r>
          </w:p>
        </w:tc>
        <w:tc>
          <w:tcPr>
            <w:tcW w:type="dxa" w:w="3816"/>
            <w:vAlign w:val="center"/>
          </w:tcPr>
          <w:p>
            <w:pPr>
              <w:pStyle w:val="TableText"/>
            </w:pPr>
            <w:r>
              <w:t>Existing-code map, model and runtime inventory</w:t>
            </w:r>
          </w:p>
        </w:tc>
        <w:tc>
          <w:tcPr>
            <w:tcW w:type="dxa" w:w="3888"/>
            <w:vAlign w:val="center"/>
          </w:tcPr>
          <w:p>
            <w:pPr>
              <w:pStyle w:val="TableText"/>
            </w:pPr>
            <w:r>
              <w:t>Actual target-runtime smoke and identity checks</w:t>
            </w:r>
          </w:p>
        </w:tc>
      </w:tr>
      <w:tr>
        <w:trPr>
          <w:cantSplit/>
        </w:trPr>
        <w:tc>
          <w:tcPr>
            <w:tcW w:type="dxa" w:w="2376"/>
            <w:vAlign w:val="center"/>
            <w:shd w:fill="F5F7F9"/>
          </w:tcPr>
          <w:p>
            <w:pPr>
              <w:pStyle w:val="TableText"/>
            </w:pPr>
            <w:r>
              <w:t>T02 Contracts and lineage</w:t>
            </w:r>
          </w:p>
        </w:tc>
        <w:tc>
          <w:tcPr>
            <w:tcW w:type="dxa" w:w="3816"/>
            <w:vAlign w:val="center"/>
            <w:shd w:fill="F5F7F9"/>
          </w:tcPr>
          <w:p>
            <w:pPr>
              <w:pStyle w:val="TableText"/>
            </w:pPr>
            <w:r>
              <w:t>Task schemas, source registry, root splits</w:t>
            </w:r>
          </w:p>
        </w:tc>
        <w:tc>
          <w:tcPr>
            <w:tcW w:type="dxa" w:w="3888"/>
            <w:vAlign w:val="center"/>
            <w:shd w:fill="F5F7F9"/>
          </w:tcPr>
          <w:p>
            <w:pPr>
              <w:pStyle w:val="TableText"/>
            </w:pPr>
            <w:r>
              <w:t>Schema, overlap, and accounting reports</w:t>
            </w:r>
          </w:p>
        </w:tc>
      </w:tr>
      <w:tr>
        <w:trPr>
          <w:cantSplit/>
        </w:trPr>
        <w:tc>
          <w:tcPr>
            <w:tcW w:type="dxa" w:w="2376"/>
            <w:vAlign w:val="center"/>
          </w:tcPr>
          <w:p>
            <w:pPr>
              <w:pStyle w:val="TableText"/>
            </w:pPr>
            <w:r>
              <w:t>T03 Minimal verifier tracks</w:t>
            </w:r>
          </w:p>
        </w:tc>
        <w:tc>
          <w:tcPr>
            <w:tcW w:type="dxa" w:w="3816"/>
            <w:vAlign w:val="center"/>
          </w:tcPr>
          <w:p>
            <w:pPr>
              <w:pStyle w:val="TableText"/>
            </w:pPr>
            <w:r>
              <w:t>Trusted CPU runner, adapters, golden fixtures</w:t>
            </w:r>
          </w:p>
        </w:tc>
        <w:tc>
          <w:tcPr>
            <w:tcW w:type="dxa" w:w="3888"/>
            <w:vAlign w:val="center"/>
          </w:tcPr>
          <w:p>
            <w:pPr>
              <w:pStyle w:val="TableText"/>
            </w:pPr>
            <w:r>
              <w:t>Independent positive/negative and tamper results</w:t>
            </w:r>
          </w:p>
        </w:tc>
      </w:tr>
      <w:tr>
        <w:trPr>
          <w:cantSplit/>
        </w:trPr>
        <w:tc>
          <w:tcPr>
            <w:tcW w:type="dxa" w:w="2376"/>
            <w:vAlign w:val="center"/>
            <w:shd w:fill="F5F7F9"/>
          </w:tcPr>
          <w:p>
            <w:pPr>
              <w:pStyle w:val="TableText"/>
            </w:pPr>
            <w:r>
              <w:t>T04 Pilot data and baseline</w:t>
            </w:r>
          </w:p>
        </w:tc>
        <w:tc>
          <w:tcPr>
            <w:tcW w:type="dxa" w:w="3816"/>
            <w:vAlign w:val="center"/>
            <w:shd w:fill="F5F7F9"/>
          </w:tcPr>
          <w:p>
            <w:pPr>
              <w:pStyle w:val="TableText"/>
            </w:pPr>
            <w:r>
              <w:t>Verified small dataset and baseline outputs</w:t>
            </w:r>
          </w:p>
        </w:tc>
        <w:tc>
          <w:tcPr>
            <w:tcW w:type="dxa" w:w="3888"/>
            <w:vAlign w:val="center"/>
            <w:shd w:fill="F5F7F9"/>
          </w:tcPr>
          <w:p>
            <w:pPr>
              <w:pStyle w:val="TableText"/>
            </w:pPr>
            <w:r>
              <w:t>Family coverage, costs, and uncertainty</w:t>
            </w:r>
          </w:p>
        </w:tc>
      </w:tr>
      <w:tr>
        <w:trPr>
          <w:cantSplit/>
        </w:trPr>
        <w:tc>
          <w:tcPr>
            <w:tcW w:type="dxa" w:w="2376"/>
            <w:vAlign w:val="center"/>
          </w:tcPr>
          <w:p>
            <w:pPr>
              <w:pStyle w:val="TableText"/>
            </w:pPr>
            <w:r>
              <w:t>T05 SFT lifecycle</w:t>
            </w:r>
          </w:p>
        </w:tc>
        <w:tc>
          <w:tcPr>
            <w:tcW w:type="dxa" w:w="3816"/>
            <w:vAlign w:val="center"/>
          </w:tcPr>
          <w:p>
            <w:pPr>
              <w:pStyle w:val="TableText"/>
            </w:pPr>
            <w:r>
              <w:t>Training adapter and reloadable checkpoint</w:t>
            </w:r>
          </w:p>
        </w:tc>
        <w:tc>
          <w:tcPr>
            <w:tcW w:type="dxa" w:w="3888"/>
            <w:vAlign w:val="center"/>
          </w:tcPr>
          <w:p>
            <w:pPr>
              <w:pStyle w:val="TableText"/>
            </w:pPr>
            <w:r>
              <w:t>Parameters change and resume reproduces state</w:t>
            </w:r>
          </w:p>
        </w:tc>
      </w:tr>
      <w:tr>
        <w:trPr>
          <w:cantSplit/>
        </w:trPr>
        <w:tc>
          <w:tcPr>
            <w:tcW w:type="dxa" w:w="2376"/>
            <w:vAlign w:val="center"/>
            <w:shd w:fill="F5F7F9"/>
          </w:tcPr>
          <w:p>
            <w:pPr>
              <w:pStyle w:val="TableText"/>
            </w:pPr>
            <w:r>
              <w:t>T06 Point-reward RL</w:t>
            </w:r>
          </w:p>
        </w:tc>
        <w:tc>
          <w:tcPr>
            <w:tcW w:type="dxa" w:w="3816"/>
            <w:vAlign w:val="center"/>
            <w:shd w:fill="F5F7F9"/>
          </w:tcPr>
          <w:p>
            <w:pPr>
              <w:pStyle w:val="TableText"/>
            </w:pPr>
            <w:r>
              <w:t>Explicit loss, reward, and complete groups</w:t>
            </w:r>
          </w:p>
        </w:tc>
        <w:tc>
          <w:tcPr>
            <w:tcW w:type="dxa" w:w="3888"/>
            <w:vAlign w:val="center"/>
            <w:shd w:fill="F5F7F9"/>
          </w:tcPr>
          <w:p>
            <w:pPr>
              <w:pStyle w:val="TableText"/>
            </w:pPr>
            <w:r>
              <w:t>Independent loss/KL/gradient checks and canary</w:t>
            </w:r>
          </w:p>
        </w:tc>
      </w:tr>
      <w:tr>
        <w:trPr>
          <w:cantSplit/>
        </w:trPr>
        <w:tc>
          <w:tcPr>
            <w:tcW w:type="dxa" w:w="2376"/>
            <w:vAlign w:val="center"/>
          </w:tcPr>
          <w:p>
            <w:pPr>
              <w:pStyle w:val="TableText"/>
            </w:pPr>
            <w:r>
              <w:t>T07 Allocation research</w:t>
            </w:r>
          </w:p>
        </w:tc>
        <w:tc>
          <w:tcPr>
            <w:tcW w:type="dxa" w:w="3816"/>
            <w:vAlign w:val="center"/>
          </w:tcPr>
          <w:p>
            <w:pPr>
              <w:pStyle w:val="TableText"/>
            </w:pPr>
            <w:r>
              <w:t>Interval ledger, coefficients, bounds, scheduler</w:t>
            </w:r>
          </w:p>
        </w:tc>
        <w:tc>
          <w:tcPr>
            <w:tcW w:type="dxa" w:w="3888"/>
            <w:vAlign w:val="center"/>
          </w:tcPr>
          <w:p>
            <w:pPr>
              <w:pStyle w:val="TableText"/>
            </w:pPr>
            <w:r>
              <w:t>Frozen-pool replay and factorial controls</w:t>
            </w:r>
          </w:p>
        </w:tc>
      </w:tr>
      <w:tr>
        <w:trPr>
          <w:cantSplit/>
        </w:trPr>
        <w:tc>
          <w:tcPr>
            <w:tcW w:type="dxa" w:w="2376"/>
            <w:vAlign w:val="center"/>
            <w:shd w:fill="F5F7F9"/>
          </w:tcPr>
          <w:p>
            <w:pPr>
              <w:pStyle w:val="TableText"/>
            </w:pPr>
            <w:r>
              <w:t>T08 Context benchmark</w:t>
            </w:r>
          </w:p>
        </w:tc>
        <w:tc>
          <w:tcPr>
            <w:tcW w:type="dxa" w:w="3816"/>
            <w:vAlign w:val="center"/>
            <w:shd w:fill="F5F7F9"/>
          </w:tcPr>
          <w:p>
            <w:pPr>
              <w:pStyle w:val="TableText"/>
            </w:pPr>
            <w:r>
              <w:t>Paired contracts, witnesses, held-out compositions</w:t>
            </w:r>
          </w:p>
        </w:tc>
        <w:tc>
          <w:tcPr>
            <w:tcW w:type="dxa" w:w="3888"/>
            <w:vAlign w:val="center"/>
            <w:shd w:fill="F5F7F9"/>
          </w:tcPr>
          <w:p>
            <w:pPr>
              <w:pStyle w:val="TableText"/>
            </w:pPr>
            <w:r>
              <w:t>Independently adjudicated labels and transfer tests</w:t>
            </w:r>
          </w:p>
        </w:tc>
      </w:tr>
      <w:tr>
        <w:trPr>
          <w:cantSplit/>
        </w:trPr>
        <w:tc>
          <w:tcPr>
            <w:tcW w:type="dxa" w:w="2376"/>
            <w:vAlign w:val="center"/>
          </w:tcPr>
          <w:p>
            <w:pPr>
              <w:pStyle w:val="TableText"/>
            </w:pPr>
            <w:r>
              <w:t>T09 Tools and distillation</w:t>
            </w:r>
          </w:p>
        </w:tc>
        <w:tc>
          <w:tcPr>
            <w:tcW w:type="dxa" w:w="3816"/>
            <w:vAlign w:val="center"/>
          </w:tcPr>
          <w:p>
            <w:pPr>
              <w:pStyle w:val="TableText"/>
            </w:pPr>
            <w:r>
              <w:t>Episode records and witness views</w:t>
            </w:r>
          </w:p>
        </w:tc>
        <w:tc>
          <w:tcPr>
            <w:tcW w:type="dxa" w:w="3888"/>
            <w:vAlign w:val="center"/>
          </w:tcPr>
          <w:p>
            <w:pPr>
              <w:pStyle w:val="TableText"/>
            </w:pPr>
            <w:r>
              <w:t>Matched repair controls and zero-tool results</w:t>
            </w:r>
          </w:p>
        </w:tc>
      </w:tr>
      <w:tr>
        <w:trPr>
          <w:cantSplit/>
        </w:trPr>
        <w:tc>
          <w:tcPr>
            <w:tcW w:type="dxa" w:w="2376"/>
            <w:vAlign w:val="center"/>
            <w:shd w:fill="F5F7F9"/>
          </w:tcPr>
          <w:p>
            <w:pPr>
              <w:pStyle w:val="TableText"/>
            </w:pPr>
            <w:r>
              <w:t>T10 Recovery and release</w:t>
            </w:r>
          </w:p>
        </w:tc>
        <w:tc>
          <w:tcPr>
            <w:tcW w:type="dxa" w:w="3816"/>
            <w:vAlign w:val="center"/>
            <w:shd w:fill="F5F7F9"/>
          </w:tcPr>
          <w:p>
            <w:pPr>
              <w:pStyle w:val="TableText"/>
            </w:pPr>
            <w:r>
              <w:t>Durable jobs, package, analysis, model card</w:t>
            </w:r>
          </w:p>
        </w:tc>
        <w:tc>
          <w:tcPr>
            <w:tcW w:type="dxa" w:w="3888"/>
            <w:vAlign w:val="center"/>
            <w:shd w:fill="F5F7F9"/>
          </w:tcPr>
          <w:p>
            <w:pPr>
              <w:pStyle w:val="TableText"/>
            </w:pPr>
            <w:r>
              <w:t>Fault injection, sealed evaluation, reproduction</w:t>
            </w:r>
          </w:p>
        </w:tc>
      </w:tr>
    </w:tbl>
    <w:p>
      <w:pPr>
        <w:spacing w:after="40" w:before="0" w:line="240" w:lineRule="auto"/>
      </w:pPr>
      <w:r>
        <w:rPr>
          <w:sz w:val="4"/>
        </w:rPr>
      </w:r>
    </w:p>
    <w:p>
      <w:pPr/>
      <w:r>
        <w:t>The first real loop should include Pauli identities and false statements, one supported Lean matrix lemma, Bell/QFT circuits, a controlled-phase case, asymmetric SDK wire mapping, one fixed-noise stabilizer task, and a small repair project. Run two SFT updates with save/resume, one G=4 RL update with independently computed loss, and at most 32 canary updates before scaling. A canary establishes operability, not research effectiveness.</w:t>
      </w:r>
    </w:p>
    <w:p>
      <w:pPr/>
      <w:r>
        <w:t xml:space="preserve">Useful project directories are </w:t>
      </w:r>
      <w:r>
        <w:rPr>
          <w:rFonts w:ascii="DejaVu Sans Mono" w:hAnsi="DejaVu Sans Mono" w:eastAsia="DejaVu Sans"/>
          <w:sz w:val="17"/>
        </w:rPr>
        <w:t>contracts/</w:t>
      </w:r>
      <w:r>
        <w:t xml:space="preserve">, </w:t>
      </w:r>
      <w:r>
        <w:rPr>
          <w:rFonts w:ascii="DejaVu Sans Mono" w:hAnsi="DejaVu Sans Mono" w:eastAsia="DejaVu Sans"/>
          <w:sz w:val="17"/>
        </w:rPr>
        <w:t>schemas/</w:t>
      </w:r>
      <w:r>
        <w:t xml:space="preserve">, </w:t>
      </w:r>
      <w:r>
        <w:rPr>
          <w:rFonts w:ascii="DejaVu Sans Mono" w:hAnsi="DejaVu Sans Mono" w:eastAsia="DejaVu Sans"/>
          <w:sz w:val="17"/>
        </w:rPr>
        <w:t>data/registry/</w:t>
      </w:r>
      <w:r>
        <w:t xml:space="preserve">, </w:t>
      </w:r>
      <w:r>
        <w:rPr>
          <w:rFonts w:ascii="DejaVu Sans Mono" w:hAnsi="DejaVu Sans Mono" w:eastAsia="DejaVu Sans"/>
          <w:sz w:val="17"/>
        </w:rPr>
        <w:t>generators/</w:t>
      </w:r>
      <w:r>
        <w:t xml:space="preserve">, </w:t>
      </w:r>
      <w:r>
        <w:rPr>
          <w:rFonts w:ascii="DejaVu Sans Mono" w:hAnsi="DejaVu Sans Mono" w:eastAsia="DejaVu Sans"/>
          <w:sz w:val="17"/>
        </w:rPr>
        <w:t>verifiers/</w:t>
      </w:r>
      <w:r>
        <w:t xml:space="preserve">, </w:t>
      </w:r>
      <w:r>
        <w:rPr>
          <w:rFonts w:ascii="DejaVu Sans Mono" w:hAnsi="DejaVu Sans Mono" w:eastAsia="DejaVu Sans"/>
          <w:sz w:val="17"/>
        </w:rPr>
        <w:t>rewards/</w:t>
      </w:r>
      <w:r>
        <w:t xml:space="preserve">, </w:t>
      </w:r>
      <w:r>
        <w:rPr>
          <w:rFonts w:ascii="DejaVu Sans Mono" w:hAnsi="DejaVu Sans Mono" w:eastAsia="DejaVu Sans"/>
          <w:sz w:val="17"/>
        </w:rPr>
        <w:t>training/</w:t>
      </w:r>
      <w:r>
        <w:t xml:space="preserve">, </w:t>
      </w:r>
      <w:r>
        <w:rPr>
          <w:rFonts w:ascii="DejaVu Sans Mono" w:hAnsi="DejaVu Sans Mono" w:eastAsia="DejaVu Sans"/>
          <w:sz w:val="17"/>
        </w:rPr>
        <w:t>orchestration/</w:t>
      </w:r>
      <w:r>
        <w:t xml:space="preserve">, </w:t>
      </w:r>
      <w:r>
        <w:rPr>
          <w:rFonts w:ascii="DejaVu Sans Mono" w:hAnsi="DejaVu Sans Mono" w:eastAsia="DejaVu Sans"/>
          <w:sz w:val="17"/>
        </w:rPr>
        <w:t>evals/</w:t>
      </w:r>
      <w:r>
        <w:t xml:space="preserve">, </w:t>
      </w:r>
      <w:r>
        <w:rPr>
          <w:rFonts w:ascii="DejaVu Sans Mono" w:hAnsi="DejaVu Sans Mono" w:eastAsia="DejaVu Sans"/>
          <w:sz w:val="17"/>
        </w:rPr>
        <w:t>tests/</w:t>
      </w:r>
      <w:r>
        <w:t xml:space="preserve">, and </w:t>
      </w:r>
      <w:r>
        <w:rPr>
          <w:rFonts w:ascii="DejaVu Sans Mono" w:hAnsi="DejaVu Sans Mono" w:eastAsia="DejaVu Sans"/>
          <w:sz w:val="17"/>
        </w:rPr>
        <w:t>runs/&lt;run_id&gt;/</w:t>
      </w:r>
      <w:r>
        <w:t xml:space="preserve">. Add </w:t>
      </w:r>
      <w:r>
        <w:rPr>
          <w:rFonts w:ascii="DejaVu Sans Mono" w:hAnsi="DejaVu Sans Mono" w:eastAsia="DejaVu Sans"/>
          <w:sz w:val="17"/>
        </w:rPr>
        <w:t>research/interval_allocation/</w:t>
      </w:r>
      <w:r>
        <w:t xml:space="preserve">, </w:t>
      </w:r>
      <w:r>
        <w:rPr>
          <w:rFonts w:ascii="DejaVu Sans Mono" w:hAnsi="DejaVu Sans Mono" w:eastAsia="DejaVu Sans"/>
          <w:sz w:val="17"/>
        </w:rPr>
        <w:t>research/context_challenges/</w:t>
      </w:r>
      <w:r>
        <w:t xml:space="preserve">, and </w:t>
      </w:r>
      <w:r>
        <w:rPr>
          <w:rFonts w:ascii="DejaVu Sans Mono" w:hAnsi="DejaVu Sans Mono" w:eastAsia="DejaVu Sans"/>
          <w:sz w:val="17"/>
        </w:rPr>
        <w:t>research/witness_transfer/</w:t>
      </w:r>
      <w:r>
        <w:t xml:space="preserve"> only in the project layer. Keep large weights and datasets in controlled artifact storage; version small fixtures, manifests, configurations, and reproduction entry points in Git.</w:t>
      </w:r>
    </w:p>
    <w:p>
      <w:pPr>
        <w:pStyle w:val="Heading1"/>
      </w:pPr>
      <w:r>
        <w:t>18 Configuration and exchange contracts</w:t>
      </w:r>
    </w:p>
    <w:p>
      <w:pPr>
        <w:pStyle w:val="Heading2"/>
      </w:pPr>
      <w:r>
        <w:t>18.1 Initial configuration example</w:t>
      </w:r>
    </w:p>
    <w:p>
      <w:pPr/>
      <w:r>
        <w:t>This YAML specifies interfaces and initial candidates; it is not an already runnable configuration. Required null placeholders must be resolved by discovery or experimental design before launch. Semantic null rewards remain null. The schema must distinguish these cases. Record all resolved backend defaults and create a new experiment when changing precision, hardware, objective, reward, or evaluation rules.</w:t>
      </w:r>
    </w:p>
    <w:p>
      <w:pPr>
        <w:pStyle w:val="Code"/>
      </w:pPr>
      <w:r>
        <w:t>schema_version: 2</w:t>
      </w:r>
    </w:p>
    <w:p>
      <w:pPr>
        <w:pStyle w:val="Code"/>
      </w:pPr>
      <w:r>
        <w:t>project: quantum_posttraining</w:t>
      </w:r>
    </w:p>
    <w:p>
      <w:pPr>
        <w:pStyle w:val="Code"/>
      </w:pPr>
      <w:r>
        <w:t>status: planned</w:t>
      </w:r>
    </w:p>
    <w:p>
      <w:pPr>
        <w:pStyle w:val="Code"/>
      </w:pPr>
      <w:r>
        <w:t>model:</w:t>
      </w:r>
    </w:p>
    <w:p>
      <w:pPr>
        <w:pStyle w:val="Code"/>
      </w:pPr>
      <w:r>
        <w:t xml:space="preserve">  id: Qwen/Qwen3.6-35B-A3B</w:t>
      </w:r>
    </w:p>
    <w:p>
      <w:pPr>
        <w:pStyle w:val="Code"/>
      </w:pPr>
      <w:r>
        <w:t xml:space="preserve">  revision: null</w:t>
      </w:r>
    </w:p>
    <w:p>
      <w:pPr>
        <w:pStyle w:val="Code"/>
      </w:pPr>
      <w:r>
        <w:t xml:space="preserve">  weights_sha256: null</w:t>
      </w:r>
    </w:p>
    <w:p>
      <w:pPr>
        <w:pStyle w:val="Code"/>
      </w:pPr>
      <w:r>
        <w:t xml:space="preserve">  tokenizer_sha256: null</w:t>
      </w:r>
    </w:p>
    <w:p>
      <w:pPr>
        <w:pStyle w:val="Code"/>
      </w:pPr>
      <w:r>
        <w:t xml:space="preserve">  chat_template_sha256: null</w:t>
      </w:r>
    </w:p>
    <w:p>
      <w:pPr>
        <w:pStyle w:val="Code"/>
      </w:pPr>
      <w:r>
        <w:t xml:space="preserve">  dtype: bfloat16</w:t>
      </w:r>
    </w:p>
    <w:p>
      <w:pPr>
        <w:pStyle w:val="Code"/>
      </w:pPr>
      <w:r>
        <w:t xml:space="preserve">  vision: frozen</w:t>
      </w:r>
    </w:p>
    <w:p>
      <w:pPr>
        <w:pStyle w:val="Code"/>
      </w:pPr>
      <w:r>
        <w:t>runtime:</w:t>
      </w:r>
    </w:p>
    <w:p>
      <w:pPr>
        <w:pStyle w:val="Code"/>
      </w:pPr>
      <w:r>
        <w:t xml:space="preserve">  device: auto_detect</w:t>
      </w:r>
    </w:p>
    <w:p>
      <w:pPr>
        <w:pStyle w:val="Code"/>
      </w:pPr>
      <w:r>
        <w:t xml:space="preserve">  inventory_sha256: null</w:t>
      </w:r>
    </w:p>
    <w:p>
      <w:pPr>
        <w:pStyle w:val="Code"/>
      </w:pPr>
      <w:r>
        <w:t xml:space="preserve">  dependency_lock_sha256: null</w:t>
      </w:r>
    </w:p>
    <w:p>
      <w:pPr>
        <w:pStyle w:val="Code"/>
      </w:pPr>
      <w:r>
        <w:t xml:space="preserve">  trainer_backend: null</w:t>
      </w:r>
    </w:p>
    <w:p>
      <w:pPr>
        <w:pStyle w:val="Code"/>
      </w:pPr>
      <w:r>
        <w:t xml:space="preserve">  rollout_backend: null</w:t>
      </w:r>
    </w:p>
    <w:p>
      <w:pPr>
        <w:pStyle w:val="Code"/>
      </w:pPr>
      <w:r>
        <w:t>data:</w:t>
      </w:r>
    </w:p>
    <w:p>
      <w:pPr>
        <w:pStyle w:val="Code"/>
      </w:pPr>
      <w:r>
        <w:t xml:space="preserve">  registry_sha256: null</w:t>
      </w:r>
    </w:p>
    <w:p>
      <w:pPr>
        <w:pStyle w:val="Code"/>
      </w:pPr>
      <w:r>
        <w:t xml:space="preserve">  train_manifest_sha256: null</w:t>
      </w:r>
    </w:p>
    <w:p>
      <w:pPr>
        <w:pStyle w:val="Code"/>
      </w:pPr>
      <w:r>
        <w:t xml:space="preserve">  dev_manifest_sha256: null</w:t>
      </w:r>
    </w:p>
    <w:p>
      <w:pPr>
        <w:pStyle w:val="Code"/>
      </w:pPr>
      <w:r>
        <w:t xml:space="preserve">  sealed_manifest_sha256: null</w:t>
      </w:r>
    </w:p>
    <w:p>
      <w:pPr>
        <w:pStyle w:val="Code"/>
      </w:pPr>
      <w:r>
        <w:t xml:space="preserve">  split_keys:</w:t>
      </w:r>
    </w:p>
    <w:p>
      <w:pPr>
        <w:pStyle w:val="Code"/>
      </w:pPr>
      <w:r>
        <w:t xml:space="preserve">    - source_family</w:t>
      </w:r>
    </w:p>
    <w:p>
      <w:pPr>
        <w:pStyle w:val="Code"/>
      </w:pPr>
      <w:r>
        <w:t xml:space="preserve">    - generator_family</w:t>
      </w:r>
    </w:p>
    <w:p>
      <w:pPr>
        <w:pStyle w:val="Code"/>
      </w:pPr>
      <w:r>
        <w:t xml:space="preserve">    - seed_ancestor</w:t>
      </w:r>
    </w:p>
    <w:p>
      <w:pPr>
        <w:pStyle w:val="Code"/>
      </w:pPr>
      <w:r>
        <w:t xml:space="preserve">    - theorem_family</w:t>
      </w:r>
    </w:p>
    <w:p>
      <w:pPr>
        <w:pStyle w:val="Code"/>
      </w:pPr>
      <w:r>
        <w:t xml:space="preserve">    - witness_schema</w:t>
      </w:r>
    </w:p>
    <w:p>
      <w:pPr>
        <w:pStyle w:val="Code"/>
      </w:pPr>
      <w:r>
        <w:t>adapter:</w:t>
      </w:r>
    </w:p>
    <w:p>
      <w:pPr>
        <w:pStyle w:val="Code"/>
      </w:pPr>
      <w:r>
        <w:t xml:space="preserve">  method: lora</w:t>
      </w:r>
    </w:p>
    <w:p>
      <w:pPr>
        <w:pStyle w:val="Code"/>
      </w:pPr>
      <w:r>
        <w:t xml:space="preserve">  rank: 16</w:t>
      </w:r>
    </w:p>
    <w:p>
      <w:pPr>
        <w:pStyle w:val="Code"/>
      </w:pPr>
      <w:r>
        <w:t xml:space="preserve">  alpha: 32</w:t>
      </w:r>
    </w:p>
    <w:p>
      <w:pPr>
        <w:pStyle w:val="Code"/>
      </w:pPr>
      <w:r>
        <w:t xml:space="preserve">  dropout: 0.0</w:t>
      </w:r>
    </w:p>
    <w:p>
      <w:pPr>
        <w:pStyle w:val="Code"/>
      </w:pPr>
      <w:r>
        <w:t xml:space="preserve">  target_modules_resolved: null</w:t>
      </w:r>
    </w:p>
    <w:p>
      <w:pPr>
        <w:pStyle w:val="Code"/>
      </w:pPr>
      <w:r>
        <w:t xml:space="preserve">  freeze_router: true</w:t>
      </w:r>
    </w:p>
    <w:p>
      <w:pPr>
        <w:pStyle w:val="Code"/>
      </w:pPr>
      <w:r>
        <w:t>rollout:</w:t>
      </w:r>
    </w:p>
    <w:p>
      <w:pPr>
        <w:pStyle w:val="Code"/>
      </w:pPr>
      <w:r>
        <w:t xml:space="preserve">  group_size: 4</w:t>
      </w:r>
    </w:p>
    <w:p>
      <w:pPr>
        <w:pStyle w:val="Code"/>
      </w:pPr>
      <w:r>
        <w:t xml:space="preserve">  max_prompt_tokens: 4096</w:t>
      </w:r>
    </w:p>
    <w:p>
      <w:pPr>
        <w:pStyle w:val="Code"/>
      </w:pPr>
      <w:r>
        <w:t xml:space="preserve">  max_completion_tokens: 4096</w:t>
      </w:r>
    </w:p>
    <w:p>
      <w:pPr>
        <w:pStyle w:val="Code"/>
      </w:pPr>
      <w:r>
        <w:t xml:space="preserve">  temperature: 1.0</w:t>
      </w:r>
    </w:p>
    <w:p>
      <w:pPr>
        <w:pStyle w:val="Code"/>
      </w:pPr>
      <w:r>
        <w:t xml:space="preserve">  top_p: 1.0</w:t>
      </w:r>
    </w:p>
    <w:p>
      <w:pPr>
        <w:pStyle w:val="Code"/>
      </w:pPr>
      <w:r>
        <w:t xml:space="preserve">  top_k: disabled</w:t>
      </w:r>
    </w:p>
    <w:p>
      <w:pPr>
        <w:pStyle w:val="Code"/>
      </w:pPr>
      <w:r>
        <w:t xml:space="preserve">  repetition_penalty: 1.0</w:t>
      </w:r>
    </w:p>
    <w:p>
      <w:pPr>
        <w:pStyle w:val="Code"/>
      </w:pPr>
      <w:r>
        <w:t xml:space="preserve">  retain_behavior_logprobs: true</w:t>
      </w:r>
    </w:p>
    <w:p>
      <w:pPr>
        <w:pStyle w:val="Code"/>
      </w:pPr>
      <w:r>
        <w:t xml:space="preserve">  max_policy_lag: 0</w:t>
      </w:r>
    </w:p>
    <w:p>
      <w:pPr>
        <w:pStyle w:val="Code"/>
      </w:pPr>
      <w:r>
        <w:t xml:space="preserve">  max_optimizer_step_lag: 0</w:t>
      </w:r>
    </w:p>
    <w:p>
      <w:pPr>
        <w:pStyle w:val="Code"/>
      </w:pPr>
      <w:r>
        <w:t xml:space="preserve">  max_candidate_age_s: 300</w:t>
      </w:r>
    </w:p>
    <w:p>
      <w:pPr>
        <w:pStyle w:val="Code"/>
      </w:pPr>
      <w:r>
        <w:t xml:space="preserve">  min_token_ess_fraction: 0.5</w:t>
      </w:r>
    </w:p>
    <w:p>
      <w:pPr>
        <w:pStyle w:val="Code"/>
      </w:pPr>
      <w:r>
        <w:t xml:space="preserve">  max_clip_fraction: 0.2</w:t>
      </w:r>
    </w:p>
    <w:p>
      <w:pPr>
        <w:pStyle w:val="Code"/>
      </w:pPr>
      <w:r>
        <w:t xml:space="preserve">  max_importance_ratio: 10.0</w:t>
      </w:r>
    </w:p>
    <w:p>
      <w:pPr>
        <w:pStyle w:val="Code"/>
      </w:pPr>
      <w:r>
        <w:t xml:space="preserve">  max_behavior_kl_nats_per_token: 0.02</w:t>
      </w:r>
    </w:p>
    <w:p>
      <w:pPr>
        <w:pStyle w:val="Code"/>
      </w:pPr>
      <w:r>
        <w:t xml:space="preserve">  max_resample_groups_per_batch: 3</w:t>
      </w:r>
    </w:p>
    <w:p>
      <w:pPr>
        <w:pStyle w:val="Code"/>
      </w:pPr>
      <w:r>
        <w:t>rl:</w:t>
      </w:r>
    </w:p>
    <w:p>
      <w:pPr>
        <w:pStyle w:val="Code"/>
      </w:pPr>
      <w:r>
        <w:t xml:space="preserve">  objective: dr_grpo_point_v1</w:t>
      </w:r>
    </w:p>
    <w:p>
      <w:pPr>
        <w:pStyle w:val="Code"/>
      </w:pPr>
      <w:r>
        <w:t xml:space="preserve">  advantage: reward_minus_group_mean</w:t>
      </w:r>
    </w:p>
    <w:p>
      <w:pPr>
        <w:pStyle w:val="Code"/>
      </w:pPr>
      <w:r>
        <w:t xml:space="preserve">  scale_by_group_std: false</w:t>
      </w:r>
    </w:p>
    <w:p>
      <w:pPr>
        <w:pStyle w:val="Code"/>
      </w:pPr>
      <w:r>
        <w:t xml:space="preserve">  denominator: group_size_times_fixed_completion_cap</w:t>
      </w:r>
    </w:p>
    <w:p>
      <w:pPr>
        <w:pStyle w:val="Code"/>
      </w:pPr>
      <w:r>
        <w:t xml:space="preserve">  clip_low: 0.2</w:t>
      </w:r>
    </w:p>
    <w:p>
      <w:pPr>
        <w:pStyle w:val="Code"/>
      </w:pPr>
      <w:r>
        <w:t xml:space="preserve">  clip_high: 0.2</w:t>
      </w:r>
    </w:p>
    <w:p>
      <w:pPr>
        <w:pStyle w:val="Code"/>
      </w:pPr>
      <w:r>
        <w:t xml:space="preserve">  reference_kl_beta: 0.01</w:t>
      </w:r>
    </w:p>
    <w:p>
      <w:pPr>
        <w:pStyle w:val="Code"/>
      </w:pPr>
      <w:r>
        <w:t xml:space="preserve">  reference_model_sha256: null</w:t>
      </w:r>
    </w:p>
    <w:p>
      <w:pPr>
        <w:pStyle w:val="Code"/>
      </w:pPr>
      <w:r>
        <w:t xml:space="preserve">  reference_kl: full_vocab_current_to_reference</w:t>
      </w:r>
    </w:p>
    <w:p>
      <w:pPr>
        <w:pStyle w:val="Code"/>
      </w:pPr>
      <w:r>
        <w:t xml:space="preserve">  learning_rate: 1.0e-6</w:t>
      </w:r>
    </w:p>
    <w:p>
      <w:pPr>
        <w:pStyle w:val="Code"/>
      </w:pPr>
      <w:r>
        <w:t xml:space="preserve">  optimizer_epochs_per_group: 1</w:t>
      </w:r>
    </w:p>
    <w:p>
      <w:pPr>
        <w:pStyle w:val="Code"/>
      </w:pPr>
      <w:r>
        <w:t xml:space="preserve">  gradient_clip_norm: 1.0</w:t>
      </w:r>
    </w:p>
    <w:p>
      <w:pPr>
        <w:pStyle w:val="Code"/>
      </w:pPr>
      <w:r>
        <w:t>reward:</w:t>
      </w:r>
    </w:p>
    <w:p>
      <w:pPr>
        <w:pStyle w:val="Code"/>
      </w:pPr>
      <w:r>
        <w:t xml:space="preserve">  contract_sha256: null</w:t>
      </w:r>
    </w:p>
    <w:p>
      <w:pPr>
        <w:pStyle w:val="Code"/>
      </w:pPr>
      <w:r>
        <w:t xml:space="preserve">  invalid: -1.0</w:t>
      </w:r>
    </w:p>
    <w:p>
      <w:pPr>
        <w:pStyle w:val="Code"/>
      </w:pPr>
      <w:r>
        <w:t xml:space="preserve">  fail: 0.0</w:t>
      </w:r>
    </w:p>
    <w:p>
      <w:pPr>
        <w:pStyle w:val="Code"/>
      </w:pPr>
      <w:r>
        <w:t xml:space="preserve">  pass: 1.0</w:t>
      </w:r>
    </w:p>
    <w:p>
      <w:pPr>
        <w:pStyle w:val="Code"/>
      </w:pPr>
      <w:r>
        <w:t xml:space="preserve">  resource_bonus_cap: 0.25</w:t>
      </w:r>
    </w:p>
    <w:p>
      <w:pPr>
        <w:pStyle w:val="Code"/>
      </w:pPr>
      <w:r>
        <w:t xml:space="preserve">  infrastructure_failure: null</w:t>
      </w:r>
    </w:p>
    <w:p>
      <w:pPr>
        <w:pStyle w:val="Code"/>
      </w:pPr>
      <w:r>
        <w:t xml:space="preserve">  incomplete_group: quarantine</w:t>
      </w:r>
    </w:p>
    <w:p>
      <w:pPr>
        <w:pStyle w:val="Code"/>
      </w:pPr>
      <w:r>
        <w:t xml:space="preserve">  theorem_goal_count_shaping: false</w:t>
      </w:r>
    </w:p>
    <w:p>
      <w:pPr>
        <w:pStyle w:val="Code"/>
      </w:pPr>
      <w:r>
        <w:t>verifier:</w:t>
      </w:r>
    </w:p>
    <w:p>
      <w:pPr>
        <w:pStyle w:val="Code"/>
      </w:pPr>
      <w:r>
        <w:t xml:space="preserve">  image_sha256: null</w:t>
      </w:r>
    </w:p>
    <w:p>
      <w:pPr>
        <w:pStyle w:val="Code"/>
      </w:pPr>
      <w:r>
        <w:t xml:space="preserve">  hidden_tests: trusted_external_runner</w:t>
      </w:r>
    </w:p>
    <w:p>
      <w:pPr>
        <w:pStyle w:val="Code"/>
      </w:pPr>
      <w:r>
        <w:t xml:space="preserve">  network_access: false</w:t>
      </w:r>
    </w:p>
    <w:p>
      <w:pPr>
        <w:pStyle w:val="Code"/>
      </w:pPr>
      <w:r>
        <w:t xml:space="preserve">  fast_soft_timeout_s: 1.5</w:t>
      </w:r>
    </w:p>
    <w:p>
      <w:pPr>
        <w:pStyle w:val="Code"/>
      </w:pPr>
      <w:r>
        <w:t xml:space="preserve">  fast_hard_timeout_s: 5</w:t>
      </w:r>
    </w:p>
    <w:p>
      <w:pPr>
        <w:pStyle w:val="Code"/>
      </w:pPr>
      <w:r>
        <w:t xml:space="preserve">  medium_hard_timeout_s: 30</w:t>
      </w:r>
    </w:p>
    <w:p>
      <w:pPr>
        <w:pStyle w:val="Code"/>
      </w:pPr>
      <w:r>
        <w:t xml:space="preserve">  slow_hard_timeout_s: 300</w:t>
      </w:r>
    </w:p>
    <w:p>
      <w:pPr>
        <w:pStyle w:val="Code"/>
      </w:pPr>
      <w:r>
        <w:t xml:space="preserve">  memory_limit_bytes: null</w:t>
      </w:r>
    </w:p>
    <w:p>
      <w:pPr>
        <w:pStyle w:val="Code"/>
      </w:pPr>
      <w:r>
        <w:t xml:space="preserve">  max_inflight_groups: null</w:t>
      </w:r>
    </w:p>
    <w:p>
      <w:pPr>
        <w:pStyle w:val="Code"/>
      </w:pPr>
      <w:r>
        <w:t xml:space="preserve">  retry_infrastructure_once: true</w:t>
      </w:r>
    </w:p>
    <w:p>
      <w:pPr>
        <w:pStyle w:val="Code"/>
      </w:pPr>
      <w:r>
        <w:t>training:</w:t>
      </w:r>
    </w:p>
    <w:p>
      <w:pPr>
        <w:pStyle w:val="Code"/>
      </w:pPr>
      <w:r>
        <w:t xml:space="preserve">  microbatch_per_device: 1</w:t>
      </w:r>
    </w:p>
    <w:p>
      <w:pPr>
        <w:pStyle w:val="Code"/>
      </w:pPr>
      <w:r>
        <w:t xml:space="preserve">  gradient_accumulation: null</w:t>
      </w:r>
    </w:p>
    <w:p>
      <w:pPr>
        <w:pStyle w:val="Code"/>
      </w:pPr>
      <w:r>
        <w:t xml:space="preserve">  global_effective_tokens: null</w:t>
      </w:r>
    </w:p>
    <w:p>
      <w:pPr>
        <w:pStyle w:val="Code"/>
      </w:pPr>
      <w:r>
        <w:t xml:space="preserve">  canary_max_updates: 32</w:t>
      </w:r>
    </w:p>
    <w:p>
      <w:pPr>
        <w:pStyle w:val="Code"/>
      </w:pPr>
      <w:r>
        <w:t xml:space="preserve">  checkpoint_resume_required: true</w:t>
      </w:r>
    </w:p>
    <w:p>
      <w:pPr>
        <w:pStyle w:val="Code"/>
      </w:pPr>
      <w:r>
        <w:t>research:</w:t>
      </w:r>
    </w:p>
    <w:p>
      <w:pPr>
        <w:pStyle w:val="Code"/>
      </w:pPr>
      <w:r>
        <w:t xml:space="preserve">  interval_mode_enabled: false</w:t>
      </w:r>
    </w:p>
    <w:p>
      <w:pPr>
        <w:pStyle w:val="Code"/>
      </w:pPr>
      <w:r>
        <w:t xml:space="preserve">  context_challenges_enabled: false</w:t>
      </w:r>
    </w:p>
    <w:p>
      <w:pPr>
        <w:pStyle w:val="Code"/>
      </w:pPr>
      <w:r>
        <w:t xml:space="preserve">  witness_transfer_enabled: false</w:t>
      </w:r>
    </w:p>
    <w:p>
      <w:pPr>
        <w:pStyle w:val="Code"/>
      </w:pPr>
      <w:r>
        <w:t xml:space="preserve">  interval_objective: certified_coefficient_v1</w:t>
      </w:r>
    </w:p>
    <w:p>
      <w:pPr>
        <w:pStyle w:val="Code"/>
      </w:pPr>
      <w:r>
        <w:t xml:space="preserve">  acquisition: bound_and_coefficient_mass_per_cost</w:t>
      </w:r>
    </w:p>
    <w:p>
      <w:pPr>
        <w:pStyle w:val="Code"/>
      </w:pPr>
      <w:r>
        <w:t xml:space="preserve">  coefficient_mass_weight: null</w:t>
      </w:r>
    </w:p>
    <w:p>
      <w:pPr>
        <w:pStyle w:val="Code"/>
      </w:pPr>
      <w:r>
        <w:t xml:space="preserve">  total_miscoverage_budget: null</w:t>
      </w:r>
    </w:p>
    <w:p>
      <w:pPr>
        <w:pStyle w:val="Code"/>
      </w:pPr>
      <w:r>
        <w:t xml:space="preserve">  surrogate_bound_tolerance: null</w:t>
      </w:r>
    </w:p>
    <w:p>
      <w:pPr>
        <w:pStyle w:val="Code"/>
      </w:pPr>
      <w:r>
        <w:t xml:space="preserve">  group_evidence_budget: null</w:t>
      </w:r>
    </w:p>
    <w:p>
      <w:pPr>
        <w:pStyle w:val="Code"/>
      </w:pPr>
      <w:r>
        <w:t xml:space="preserve">  minimum_family_service_quota: null</w:t>
      </w:r>
    </w:p>
    <w:p>
      <w:pPr>
        <w:pStyle w:val="Code"/>
      </w:pPr>
      <w:r>
        <w:t xml:space="preserve">  frozen_pool_manifest_sha256: null</w:t>
      </w:r>
    </w:p>
    <w:p>
      <w:pPr>
        <w:pStyle w:val="Code"/>
      </w:pPr>
      <w:r>
        <w:t>budget:</w:t>
      </w:r>
    </w:p>
    <w:p>
      <w:pPr>
        <w:pStyle w:val="Code"/>
      </w:pPr>
      <w:r>
        <w:t xml:space="preserve">  accelerator_hours: null</w:t>
      </w:r>
    </w:p>
    <w:p>
      <w:pPr>
        <w:pStyle w:val="Code"/>
      </w:pPr>
      <w:r>
        <w:t xml:space="preserve">  teacher_tokens: null</w:t>
      </w:r>
    </w:p>
    <w:p>
      <w:pPr>
        <w:pStyle w:val="Code"/>
      </w:pPr>
      <w:r>
        <w:t xml:space="preserve">  rollout_tokens: null</w:t>
      </w:r>
    </w:p>
    <w:p>
      <w:pPr>
        <w:pStyle w:val="Code"/>
      </w:pPr>
      <w:r>
        <w:t xml:space="preserve">  verifier_cpu_hours: null</w:t>
      </w:r>
    </w:p>
    <w:p>
      <w:pPr>
        <w:pStyle w:val="Code"/>
      </w:pPr>
      <w:r>
        <w:t xml:space="preserve">  storage_bytes: null</w:t>
      </w:r>
    </w:p>
    <w:p>
      <w:pPr>
        <w:pStyle w:val="Code"/>
      </w:pPr>
      <w:r>
        <w:t xml:space="preserve">  currency_limit: null</w:t>
      </w:r>
    </w:p>
    <w:p>
      <w:pPr>
        <w:pStyle w:val="Code"/>
      </w:pPr>
      <w:r>
        <w:t>evaluation:</w:t>
      </w:r>
    </w:p>
    <w:p>
      <w:pPr>
        <w:pStyle w:val="Code"/>
      </w:pPr>
      <w:r>
        <w:t xml:space="preserve">  contract_sha256: null</w:t>
      </w:r>
    </w:p>
    <w:p>
      <w:pPr>
        <w:pStyle w:val="Code"/>
      </w:pPr>
      <w:r>
        <w:t xml:space="preserve">  primary: equal_science_code_family_macro_pass1</w:t>
      </w:r>
    </w:p>
    <w:p>
      <w:pPr>
        <w:pStyle w:val="Code"/>
      </w:pPr>
      <w:r>
        <w:t xml:space="preserve">  paired_family_bootstrap: true</w:t>
      </w:r>
    </w:p>
    <w:p>
      <w:pPr>
        <w:pStyle w:val="Code"/>
      </w:pPr>
      <w:r>
        <w:t xml:space="preserve">  confidence: 0.95</w:t>
      </w:r>
    </w:p>
    <w:p>
      <w:pPr>
        <w:pStyle w:val="Code"/>
      </w:pPr>
      <w:r>
        <w:t xml:space="preserve">  general_noninferiority_margin: 0.02</w:t>
      </w:r>
    </w:p>
    <w:p>
      <w:pPr>
        <w:pStyle w:val="Code"/>
      </w:pPr>
      <w:r>
        <w:t xml:space="preserve">  unresolved_measurements_block_promotion: true</w:t>
      </w:r>
    </w:p>
    <w:p>
      <w:pPr>
        <w:spacing w:after="20" w:line="120" w:lineRule="auto"/>
      </w:pPr>
    </w:p>
    <w:p>
      <w:pPr/>
      <w:r>
        <w:t>Enabling interval mode must explicitly switch the RL objective, update the group-consumption policy, and resolve its statistical and acquisition budgets. Preflight rejects the contradictory combination of enabled interval mode with the point objective. Context and witness switches identify ablation branches rather than default claims of improvement. Even without paid services, token, device-hour, verifier, and storage limits must bound the run.</w:t>
      </w:r>
    </w:p>
    <w:p>
      <w:pPr>
        <w:pStyle w:val="Heading2"/>
      </w:pPr>
      <w:r>
        <w:t>18.2 Task record</w:t>
      </w:r>
    </w:p>
    <w:p>
      <w:pPr>
        <w:pStyle w:val="Code"/>
        <w:keepNext/>
      </w:pPr>
      <w:r>
        <w:t>{</w:t>
      </w:r>
    </w:p>
    <w:p>
      <w:pPr>
        <w:pStyle w:val="Code"/>
        <w:keepNext/>
      </w:pPr>
      <w:r>
        <w:t xml:space="preserve">  "schema_version": 2,</w:t>
      </w:r>
    </w:p>
    <w:p>
      <w:pPr>
        <w:pStyle w:val="Code"/>
        <w:keepNext/>
      </w:pPr>
      <w:r>
        <w:t xml:space="preserve">  "task_id": "generated_unique_id",</w:t>
      </w:r>
    </w:p>
    <w:p>
      <w:pPr>
        <w:pStyle w:val="Code"/>
        <w:keepNext/>
      </w:pPr>
      <w:r>
        <w:t xml:space="preserve">  "root_id": "root_algorithm_or_theorem",</w:t>
      </w:r>
    </w:p>
    <w:p>
      <w:pPr>
        <w:pStyle w:val="Code"/>
        <w:keepNext/>
      </w:pPr>
      <w:r>
        <w:t xml:space="preserve">  "family_id": "controlled_phase_family",</w:t>
      </w:r>
    </w:p>
    <w:p>
      <w:pPr>
        <w:pStyle w:val="Code"/>
        <w:keepNext/>
      </w:pPr>
      <w:r>
        <w:t xml:space="preserve">  "split": "train",</w:t>
      </w:r>
    </w:p>
    <w:p>
      <w:pPr>
        <w:pStyle w:val="Code"/>
        <w:keepNext/>
      </w:pPr>
      <w:r>
        <w:t xml:space="preserve">  "public_prompt_ref": "content_addressed_object",</w:t>
      </w:r>
    </w:p>
    <w:p>
      <w:pPr>
        <w:pStyle w:val="Code"/>
        <w:keepNext/>
      </w:pPr>
      <w:r>
        <w:t xml:space="preserve">  "spec_sha256": "resolved_hash",</w:t>
      </w:r>
    </w:p>
    <w:p>
      <w:pPr>
        <w:pStyle w:val="Code"/>
        <w:keepNext/>
      </w:pPr>
      <w:r>
        <w:t xml:space="preserve">  "semantic_contract": {</w:t>
      </w:r>
    </w:p>
    <w:p>
      <w:pPr>
        <w:pStyle w:val="Code"/>
        <w:keepNext/>
      </w:pPr>
      <w:r>
        <w:t xml:space="preserve">    "object": "phase_anchored_unitary_circuit",</w:t>
      </w:r>
    </w:p>
    <w:p>
      <w:pPr>
        <w:pStyle w:val="Code"/>
        <w:keepNext/>
      </w:pPr>
      <w:r>
        <w:t xml:space="preserve">    "wire_order": [0, 1, 2],</w:t>
      </w:r>
    </w:p>
    <w:p>
      <w:pPr>
        <w:pStyle w:val="Code"/>
        <w:keepNext/>
      </w:pPr>
      <w:r>
        <w:t xml:space="preserve">    "phase_policy": "controlled_extension",</w:t>
      </w:r>
    </w:p>
    <w:p>
      <w:pPr>
        <w:pStyle w:val="Code"/>
        <w:keepNext/>
      </w:pPr>
      <w:r>
        <w:t xml:space="preserve">    "ancilla_policy": "return_to_zero_uncorrelated",</w:t>
      </w:r>
    </w:p>
    <w:p>
      <w:pPr>
        <w:pStyle w:val="Code"/>
        <w:keepNext/>
      </w:pPr>
      <w:r>
        <w:t xml:space="preserve">    "context_family": "coherent_control",</w:t>
      </w:r>
    </w:p>
    <w:p>
      <w:pPr>
        <w:pStyle w:val="Code"/>
        <w:keepNext/>
      </w:pPr>
      <w:r>
        <w:t xml:space="preserve">    "minimum_evidence": "NUMERICAL",</w:t>
      </w:r>
    </w:p>
    <w:p>
      <w:pPr>
        <w:pStyle w:val="Code"/>
        <w:keepNext/>
      </w:pPr>
      <w:r>
        <w:t xml:space="preserve">    "metric": "operator_norm",</w:t>
      </w:r>
    </w:p>
    <w:p>
      <w:pPr>
        <w:pStyle w:val="Code"/>
        <w:keepNext/>
      </w:pPr>
      <w:r>
        <w:t xml:space="preserve">    "tolerance": 1e-8</w:t>
      </w:r>
    </w:p>
    <w:p>
      <w:pPr>
        <w:pStyle w:val="Code"/>
        <w:keepNext/>
      </w:pPr>
      <w:r>
        <w:t xml:space="preserve">  },</w:t>
      </w:r>
    </w:p>
    <w:p>
      <w:pPr>
        <w:pStyle w:val="Code"/>
        <w:keepNext/>
      </w:pPr>
      <w:r>
        <w:t xml:space="preserve">  "private_verifier_ref": "trusted_service_only",</w:t>
      </w:r>
    </w:p>
    <w:p>
      <w:pPr>
        <w:pStyle w:val="Code"/>
        <w:keepNext/>
      </w:pPr>
      <w:r>
        <w:t xml:space="preserve">  "source_ref": "registry_record",</w:t>
      </w:r>
    </w:p>
    <w:p>
      <w:pPr>
        <w:pStyle w:val="Code"/>
        <w:keepNext/>
      </w:pPr>
      <w:r>
        <w:t xml:space="preserve">  "lineage_ref": "parent_transform_and_witness_manifest",</w:t>
      </w:r>
    </w:p>
    <w:p>
      <w:pPr>
        <w:pStyle w:val="Code"/>
        <w:keepNext/>
      </w:pPr>
      <w:r>
        <w:t xml:space="preserve">  "budget_profile": "small_exact_v1"</w:t>
      </w:r>
    </w:p>
    <w:p>
      <w:pPr>
        <w:pStyle w:val="Code"/>
        <w:keepNext w:val="0"/>
      </w:pPr>
      <w:r>
        <w:t>}</w:t>
      </w:r>
    </w:p>
    <w:p>
      <w:pPr>
        <w:spacing w:after="20" w:line="120" w:lineRule="auto"/>
      </w:pPr>
    </w:p>
    <w:p>
      <w:pPr/>
      <w:r>
        <w:t>The public task view excludes hidden reference locations, private parameters, and answers. Gate sets, parameter domains, resource constraints, and output contracts must be complete in the resolved record even when omitted from this compact illustration. Hash placeholders must become actual hashes; they are not identifiers to reuse verbatim.</w:t>
      </w:r>
    </w:p>
    <w:p>
      <w:pPr>
        <w:pStyle w:val="Heading2"/>
      </w:pPr>
      <w:r>
        <w:t>18.3 Candidate and evidence records</w:t>
      </w:r>
    </w:p>
    <w:p>
      <w:pPr/>
      <w:r>
        <w:t>Candidate fields include task/root/group/sample IDs, behavior policy and optimizer step, creation time, model/prompt/generation hashes, token and behavior-logprob references, output hash, and stop reason. Multi-turn records add episode and transcript references. Recompute diagnostic full-vocabulary KL from a pinned behavior snapshot where required; sampled token log probabilities alone do not supply that quantity.</w:t>
      </w:r>
    </w:p>
    <w:p>
      <w:pPr/>
      <w:r>
        <w:t>Evidence fields include candidate and contract hashes, verifier hash, status and reason code, evidence method, correctness and resource metrics, time and memory, seeds, sample IDs, and certificate references. Research intervals additionally record endpoints, their reward mapping, statistical assumptions, allocated miscoverage, cumulative shots, prior evidence references, and the acquisition decision. The trusted service signs or records results in a controlled ledger.</w:t>
      </w:r>
    </w:p>
    <w:p>
      <w:pPr/>
      <w:r>
        <w:t>At consumption, record all G candidates, interval or point mode, learner revision, ratios, coefficients, bound B and mass M where applicable, and checkpoint transaction. Invariants require unique sample indices, consistent contracts and behavior policies, finite numerical fields, genuine evidence for PASS, and no duplicate statistical observations or gradient consumption.</w:t>
      </w:r>
    </w:p>
    <w:p>
      <w:pPr>
        <w:pStyle w:val="Heading2"/>
      </w:pPr>
      <w:r>
        <w:t>18.4 Required mathematical fixtures</w:t>
      </w:r>
    </w:p>
    <w:p>
      <w:pPr/>
      <w:r>
        <w:t>Use independently written tests for interval extrema at all corners of small reward boxes; conservative coefficient signs and magnitudes; the point-interval limit; intervals crossing zero; all-equal exact rewards; the surrogate bound above and below clipping thresholds; ratios far beyond the clip range; and threshold-reward interval mapping. Check mass monotonicity under nested intervals with fixed weights and the λ=0 equal-length degeneration. Include G=2 and larger groups and reject G&lt;2 in the research implementation.</w:t>
      </w:r>
    </w:p>
    <w:p>
      <w:pPr/>
      <w:r>
        <w:t>Numerically verify the controlled-phase example and test the declared norm under composition. These checks validate implementation against the definitions; they are not empirical evidence of a learning advantage. For sequential inference, audit the error-budget sum and repeated-look coverage under a known simulator, including deliberately broken independence and duplicate-shot controls that the system must reject.</w:t>
      </w:r>
    </w:p>
    <w:p>
      <w:pPr>
        <w:pStyle w:val="Heading1"/>
      </w:pPr>
      <w:r>
        <w:t>19 Execution handoff and final artifacts</w:t>
      </w:r>
    </w:p>
    <w:p>
      <w:pPr>
        <w:pStyle w:val="Heading2"/>
      </w:pPr>
      <w:r>
        <w:t>19.1 Future Code instruction</w:t>
      </w:r>
    </w:p>
    <w:p>
      <w:pPr>
        <w:pStyle w:val="Code"/>
        <w:keepNext/>
      </w:pPr>
      <w:r>
        <w:t>Post-train the pinned Qwen/Qwen3.6-35B-A3B model for quantum</w:t>
      </w:r>
    </w:p>
    <w:p>
      <w:pPr>
        <w:pStyle w:val="Code"/>
        <w:keepNext/>
      </w:pPr>
      <w:r>
        <w:t>science and multi-framework programming using this specification.</w:t>
      </w:r>
    </w:p>
    <w:p>
      <w:pPr>
        <w:pStyle w:val="Code"/>
        <w:keepNext/>
      </w:pPr>
      <w:r>
        <w:t>Keep Future-Code domain-neutral and implement quantum logic in</w:t>
      </w:r>
    </w:p>
    <w:p>
      <w:pPr>
        <w:pStyle w:val="Code"/>
        <w:keepNext/>
      </w:pPr>
      <w:r>
        <w:t>the project plugin. Audit existing code, checkpoints, remote jobs,</w:t>
      </w:r>
    </w:p>
    <w:p>
      <w:pPr>
        <w:pStyle w:val="Code"/>
        <w:keepNext/>
      </w:pPr>
      <w:r>
        <w:t>and historical evaluations before creating new components.</w:t>
      </w:r>
    </w:p>
    <w:p>
      <w:pPr>
        <w:pStyle w:val="Code"/>
        <w:keepNext/>
      </w:pPr>
      <w:r>
        <w:t>Freeze contracts, budgets, splits, and matched baseline evaluation.</w:t>
      </w:r>
    </w:p>
    <w:p>
      <w:pPr>
        <w:pStyle w:val="Code"/>
        <w:keepNext/>
      </w:pPr>
      <w:r>
        <w:t>Build the minimal trusted verifier and synchronous training loop.</w:t>
      </w:r>
    </w:p>
    <w:p>
      <w:pPr>
        <w:pStyle w:val="Code"/>
        <w:keepNext/>
      </w:pPr>
      <w:r>
        <w:t>Run load, update, save, terminate, resume, and evaluate gates.</w:t>
      </w:r>
    </w:p>
    <w:p>
      <w:pPr>
        <w:pStyle w:val="Code"/>
        <w:keepNext/>
      </w:pPr>
      <w:r>
        <w:t>Establish point-reward SFT and RL baselines before research branches.</w:t>
      </w:r>
    </w:p>
    <w:p>
      <w:pPr>
        <w:pStyle w:val="Code"/>
        <w:keepNext/>
      </w:pPr>
      <w:r>
        <w:t>Evaluate group-aware allocation, contextual tasks, and witness</w:t>
      </w:r>
    </w:p>
    <w:p>
      <w:pPr>
        <w:pStyle w:val="Code"/>
        <w:keepNext/>
      </w:pPr>
      <w:r>
        <w:t>transfer with the prescribed independent controls and ablations.</w:t>
      </w:r>
    </w:p>
    <w:p>
      <w:pPr>
        <w:pStyle w:val="Code"/>
        <w:keepNext/>
      </w:pPr>
      <w:r>
        <w:t>Preserve raw evidence, provenance, negative results, and costs.</w:t>
      </w:r>
    </w:p>
    <w:p>
      <w:pPr>
        <w:pStyle w:val="Code"/>
        <w:keepNext/>
      </w:pPr>
      <w:r>
        <w:t>On disconnection, inspect the real job before relaunching.</w:t>
      </w:r>
    </w:p>
    <w:p>
      <w:pPr>
        <w:pStyle w:val="Code"/>
        <w:keepNext/>
      </w:pPr>
      <w:r>
        <w:t>Report verified progress, current gate, cost, blocker, and next test.</w:t>
      </w:r>
    </w:p>
    <w:p>
      <w:pPr>
        <w:pStyle w:val="Code"/>
        <w:keepNext/>
      </w:pPr>
      <w:r>
        <w:t>Claim only improvements established by the frozen evaluation.</w:t>
      </w:r>
    </w:p>
    <w:p>
      <w:pPr>
        <w:pStyle w:val="Code"/>
        <w:keepNext/>
      </w:pPr>
      <w:r>
        <w:t>Deliver a loadable model and reproducible engineering and paper</w:t>
      </w:r>
    </w:p>
    <w:p>
      <w:pPr>
        <w:pStyle w:val="Code"/>
        <w:keepNext w:val="0"/>
      </w:pPr>
      <w:r>
        <w:t>artifacts, with unmeasured or unsupported claims explicitly marked.</w:t>
      </w:r>
    </w:p>
    <w:p>
      <w:pPr>
        <w:spacing w:after="20" w:line="120" w:lineRule="auto"/>
      </w:pPr>
    </w:p>
    <w:p>
      <w:pPr>
        <w:pStyle w:val="Heading2"/>
      </w:pPr>
      <w:r>
        <w:t>19.2 Command interface to implement or map</w:t>
      </w:r>
    </w:p>
    <w:p>
      <w:pPr/>
      <w:r>
        <w:t>These commands are proposed interfaces, not a statement that the repository already implements them. Prefer existing commands with equivalent validated behavior. Require structured summaries and meaningful exit codes.</w:t>
      </w:r>
    </w:p>
    <w:p>
      <w:pPr>
        <w:pStyle w:val="Code"/>
        <w:keepNext/>
      </w:pPr>
      <w:r>
        <w:t>python -m quantum_posttrain preflight --config contracts/run.yaml</w:t>
      </w:r>
    </w:p>
    <w:p>
      <w:pPr>
        <w:pStyle w:val="Code"/>
        <w:keepNext/>
      </w:pPr>
      <w:r>
        <w:t>python -m quantum_posttrain verify-selftest --suite tests/golden</w:t>
      </w:r>
    </w:p>
    <w:p>
      <w:pPr>
        <w:pStyle w:val="Code"/>
        <w:keepNext/>
      </w:pPr>
      <w:r>
        <w:t>python -m quantum_posttrain data-audit --manifest data/manifest.json</w:t>
      </w:r>
    </w:p>
    <w:p>
      <w:pPr>
        <w:pStyle w:val="Code"/>
        <w:keepNext/>
      </w:pPr>
      <w:r>
        <w:t>python -m quantum_posttrain baseline --config contracts/eval.yaml</w:t>
      </w:r>
    </w:p>
    <w:p>
      <w:pPr>
        <w:pStyle w:val="Code"/>
        <w:keepNext/>
      </w:pPr>
      <w:r>
        <w:t>python -m quantum_posttrain smoke --mode sft --config contracts/sft.yaml</w:t>
      </w:r>
    </w:p>
    <w:p>
      <w:pPr>
        <w:pStyle w:val="Code"/>
        <w:keepNext/>
      </w:pPr>
      <w:r>
        <w:t>python -m quantum_posttrain train --config contracts/sft.yaml</w:t>
      </w:r>
    </w:p>
    <w:p>
      <w:pPr>
        <w:pStyle w:val="Code"/>
        <w:keepNext/>
      </w:pPr>
      <w:r>
        <w:t>python -m quantum_posttrain smoke --mode rl --config contracts/rl.yaml</w:t>
      </w:r>
    </w:p>
    <w:p>
      <w:pPr>
        <w:pStyle w:val="Code"/>
        <w:keepNext/>
      </w:pPr>
      <w:r>
        <w:t>python -m quantum_posttrain train --config contracts/rl.yaml</w:t>
      </w:r>
    </w:p>
    <w:p>
      <w:pPr>
        <w:pStyle w:val="Code"/>
        <w:keepNext/>
      </w:pPr>
      <w:r>
        <w:t>python -m quantum_posttrain replay-verifiers --config contracts/replay.yaml</w:t>
      </w:r>
    </w:p>
    <w:p>
      <w:pPr>
        <w:pStyle w:val="Code"/>
        <w:keepNext/>
      </w:pPr>
      <w:r>
        <w:t>python -m quantum_posttrain resume --run-id RUN_ID</w:t>
      </w:r>
    </w:p>
    <w:p>
      <w:pPr>
        <w:pStyle w:val="Code"/>
        <w:keepNext/>
      </w:pPr>
      <w:r>
        <w:t>python -m quantum_posttrain evaluate --candidate CANDIDATE_MANIFEST</w:t>
      </w:r>
    </w:p>
    <w:p>
      <w:pPr>
        <w:pStyle w:val="Code"/>
        <w:keepNext w:val="0"/>
      </w:pPr>
      <w:r>
        <w:t>python -m quantum_posttrain report --run-id RUN_ID</w:t>
      </w:r>
    </w:p>
    <w:p>
      <w:pPr>
        <w:spacing w:after="20" w:line="120" w:lineRule="auto"/>
      </w:pPr>
    </w:p>
    <w:p>
      <w:pPr/>
      <w:r>
        <w:t xml:space="preserve">Preflight must fail before training if required revisions, budgets, manifests, verifier identities, or evaluation rules are unresolved. Keep append-only structured events with run and optimizer identities, generated/trained tokens, queue depth, evidence status, checkpoints, and remaining budget. Distinguish </w:t>
      </w:r>
      <w:r>
        <w:rPr>
          <w:rFonts w:ascii="DejaVu Sans Mono" w:hAnsi="DejaVu Sans Mono" w:eastAsia="DejaVu Sans"/>
          <w:sz w:val="17"/>
        </w:rPr>
        <w:t>MEASURED</w:t>
      </w:r>
      <w:r>
        <w:t xml:space="preserve">, </w:t>
      </w:r>
      <w:r>
        <w:rPr>
          <w:rFonts w:ascii="DejaVu Sans Mono" w:hAnsi="DejaVu Sans Mono" w:eastAsia="DejaVu Sans"/>
          <w:sz w:val="17"/>
        </w:rPr>
        <w:t>ESTIMATED</w:t>
      </w:r>
      <w:r>
        <w:t xml:space="preserve">, </w:t>
      </w:r>
      <w:r>
        <w:rPr>
          <w:rFonts w:ascii="DejaVu Sans Mono" w:hAnsi="DejaVu Sans Mono" w:eastAsia="DejaVu Sans"/>
          <w:sz w:val="17"/>
        </w:rPr>
        <w:t>TARGET</w:t>
      </w:r>
      <w:r>
        <w:t xml:space="preserve">, and </w:t>
      </w:r>
      <w:r>
        <w:rPr>
          <w:rFonts w:ascii="DejaVu Sans Mono" w:hAnsi="DejaVu Sans Mono" w:eastAsia="DejaVu Sans"/>
          <w:sz w:val="17"/>
        </w:rPr>
        <w:t>MISSING</w:t>
      </w:r>
      <w:r>
        <w:t xml:space="preserve"> in human reports and plots.</w:t>
      </w:r>
    </w:p>
    <w:p>
      <w:pPr>
        <w:pStyle w:val="Heading2"/>
      </w:pPr>
      <w:r>
        <w:t>19.3 Completion requirements</w:t>
      </w:r>
    </w:p>
    <w:p>
      <w:pPr/>
      <w:r>
        <w:t>The model package contains the base revision, adapter or weights, tokenizer, templates, hashes, and fresh-load checks. The runtime package contains locked dependencies, container and hardware information, and launch/resume commands. The data package contains source permissions, splits, lineage, and redistributable examples or reconstructors. The verification package contains contracts, golden cases, attack fixtures, evidence ledgers, and independent checks.</w:t>
      </w:r>
    </w:p>
    <w:p>
      <w:pPr/>
      <w:r>
        <w:t>The result package contains raw outputs, per-task scores, complete denominators, uncertainty, family analyses, ablations, and cost accounting. The paper package contains the manuscript source, claim-to-evidence map, analysis scripts, figures derived from measured data, and a related-work ledger. The recovery package contains complete checkpoints, consumption state, job identities, and rollback instructions.</w:t>
      </w:r>
    </w:p>
    <w:p>
      <w:pPr/>
      <w:r>
        <w:t>If improvement is limited to one SDK or task family, name that scope explicitly. A scientific discovery requires a separately verifiable result and domain scrutiny. A successful training run or a high training reward is not sufficient evidence.</w:t>
      </w:r>
    </w:p>
    <w:p>
      <w:pPr>
        <w:pStyle w:val="Heading1"/>
      </w:pPr>
      <w:r>
        <w:t>20 References and implementation sources</w:t>
      </w:r>
    </w:p>
    <w:p>
      <w:pPr>
        <w:pStyle w:val="SourceText"/>
      </w:pPr>
      <w:r>
        <w:t>Research references are listed first, followed by implementation sources retained from the engineering specification. They establish prior art and tool semantics. Numerical targets, architectural choices, and the proposed research algorithms are project design decisions. Pin exact versions and licenses during execution.</w:t>
      </w:r>
    </w:p>
    <w:p>
      <w:pPr>
        <w:pStyle w:val="Heading2"/>
      </w:pPr>
      <w:r>
        <w:t>20.1 Research references</w:t>
      </w:r>
    </w:p>
    <w:p>
      <w:pPr>
        <w:pStyle w:val="SourceText"/>
        <w:ind w:left="230" w:hanging="230"/>
      </w:pPr>
      <w:r>
        <w:t xml:space="preserve">[R1] Yu et al. QUASAR Quantum Assembly Code Generation Using Tool-Augmented LLMs via Agentic RL. 2025. </w:t>
      </w:r>
      <w:hyperlink r:id="rId11">
        <w:r>
          <w:rPr>
            <w:color w:val="234F74"/>
          </w:rPr>
          <w:t>arXiv 2510.00967</w:t>
        </w:r>
      </w:hyperlink>
      <w:r>
        <w:t>.</w:t>
      </w:r>
    </w:p>
    <w:p>
      <w:pPr>
        <w:pStyle w:val="SourceText"/>
        <w:ind w:left="230" w:hanging="230"/>
      </w:pPr>
      <w:r>
        <w:t xml:space="preserve">[R2] Yu et al. VISTA Verifier-in-the-Loop Agentic Reinforcement Learning for Quantum Program Synthesis. CAIS 2026, pp. 239–252. </w:t>
      </w:r>
      <w:hyperlink r:id="rId12">
        <w:r>
          <w:rPr>
            <w:color w:val="234F74"/>
          </w:rPr>
          <w:t>DOI 10.1145/3786335.3813148</w:t>
        </w:r>
      </w:hyperlink>
      <w:r>
        <w:t xml:space="preserve">. </w:t>
      </w:r>
      <w:hyperlink r:id="rId13">
        <w:r>
          <w:rPr>
            <w:color w:val="234F74"/>
          </w:rPr>
          <w:t>Author institution record</w:t>
        </w:r>
      </w:hyperlink>
      <w:r>
        <w:t>.</w:t>
      </w:r>
    </w:p>
    <w:p>
      <w:pPr>
        <w:pStyle w:val="SourceText"/>
        <w:ind w:left="230" w:hanging="230"/>
      </w:pPr>
      <w:r>
        <w:t xml:space="preserve">[R3] Guo and Pan. RubriQ Rubric-Guided Group Relative Policy Optimization for Constraint-Aware Quantum Circuit Synthesis. 2026 preprint. </w:t>
      </w:r>
      <w:hyperlink r:id="rId14">
        <w:r>
          <w:rPr>
            <w:color w:val="234F74"/>
          </w:rPr>
          <w:t>arXiv 2607.07554</w:t>
        </w:r>
      </w:hyperlink>
      <w:r>
        <w:t>.</w:t>
      </w:r>
    </w:p>
    <w:p>
      <w:pPr>
        <w:pStyle w:val="SourceText"/>
        <w:ind w:left="230" w:hanging="230"/>
      </w:pPr>
      <w:r>
        <w:t xml:space="preserve">[R4] Qu et al. QuantumQA Enhancing Scientific Reasoning via Physics-Consistent Dataset and Verification-Aware Reinforcement Learning. 2026. </w:t>
      </w:r>
      <w:hyperlink r:id="rId15">
        <w:r>
          <w:rPr>
            <w:color w:val="234F74"/>
          </w:rPr>
          <w:t>arXiv 2604.18176</w:t>
        </w:r>
      </w:hyperlink>
      <w:r>
        <w:t>.</w:t>
      </w:r>
    </w:p>
    <w:p>
      <w:pPr>
        <w:pStyle w:val="SourceText"/>
        <w:ind w:left="230" w:hanging="230"/>
      </w:pPr>
      <w:r>
        <w:t xml:space="preserve">[R5] Lee et al. Range-GRPO Policy Optimization via Pairwise Relations among Reward Intervals. Version 2, 2 October 2026. </w:t>
      </w:r>
      <w:hyperlink r:id="rId16">
        <w:r>
          <w:rPr>
            <w:color w:val="234F74"/>
          </w:rPr>
          <w:t>arXiv 2610.01548</w:t>
        </w:r>
      </w:hyperlink>
      <w:r>
        <w:t>.</w:t>
      </w:r>
    </w:p>
    <w:p>
      <w:pPr>
        <w:pStyle w:val="SourceText"/>
        <w:ind w:left="230" w:hanging="230"/>
      </w:pPr>
      <w:r>
        <w:t xml:space="preserve">[R6] Paltenghi and Pradel. MorphQ Metamorphic Testing of the Qiskit Quantum Computing Platform. ICSE 2023. </w:t>
      </w:r>
      <w:hyperlink r:id="rId17">
        <w:r>
          <w:rPr>
            <w:color w:val="234F74"/>
          </w:rPr>
          <w:t>arXiv 2206.01111</w:t>
        </w:r>
      </w:hyperlink>
      <w:r>
        <w:t>.</w:t>
      </w:r>
    </w:p>
    <w:p>
      <w:pPr>
        <w:pStyle w:val="SourceText"/>
        <w:ind w:left="230" w:hanging="230"/>
      </w:pPr>
      <w:r>
        <w:t xml:space="preserve">[R7] Nguyen et al. MetaMorphQ Physics-Based Metamorphic Testing of Variational Quantum Circuits. 2026 preprint. </w:t>
      </w:r>
      <w:hyperlink r:id="rId18">
        <w:r>
          <w:rPr>
            <w:color w:val="234F74"/>
          </w:rPr>
          <w:t>arXiv 2606.28742</w:t>
        </w:r>
      </w:hyperlink>
      <w:r>
        <w:t>.</w:t>
      </w:r>
    </w:p>
    <w:p>
      <w:pPr>
        <w:pStyle w:val="SourceText"/>
        <w:ind w:left="230" w:hanging="230"/>
      </w:pPr>
      <w:r>
        <w:t xml:space="preserve">[R8] Nasir, Shah, and Alam. Testing and Verification of Quantum Compilers through Assurance Contracts and Evidence. 2026 survey preprint. </w:t>
      </w:r>
      <w:hyperlink r:id="rId19">
        <w:r>
          <w:rPr>
            <w:color w:val="234F74"/>
          </w:rPr>
          <w:t>arXiv 2610.00255</w:t>
        </w:r>
      </w:hyperlink>
      <w:r>
        <w:t>.</w:t>
      </w:r>
    </w:p>
    <w:p>
      <w:pPr>
        <w:pStyle w:val="SourceText"/>
        <w:ind w:left="230" w:hanging="230"/>
      </w:pPr>
      <w:r>
        <w:t xml:space="preserve">[R9] Li et al. Learning from Evolving Errors Adaptive Iterative Repair for On-Policy Distillation. 2 October 2026 preprint. </w:t>
      </w:r>
      <w:hyperlink r:id="rId20">
        <w:r>
          <w:rPr>
            <w:color w:val="234F74"/>
          </w:rPr>
          <w:t>arXiv 2610.02700</w:t>
        </w:r>
      </w:hyperlink>
      <w:r>
        <w:t>.</w:t>
      </w:r>
    </w:p>
    <w:p>
      <w:pPr>
        <w:pStyle w:val="SourceText"/>
        <w:ind w:left="230" w:hanging="230"/>
      </w:pPr>
      <w:r>
        <w:t xml:space="preserve">[R10] Li et al. Learning to Disprove Formal Counterexample Generation with Large Language Models. Version 2, 14 October 2026. </w:t>
      </w:r>
      <w:hyperlink r:id="rId21">
        <w:r>
          <w:rPr>
            <w:color w:val="234F74"/>
          </w:rPr>
          <w:t>arXiv 2603.19514</w:t>
        </w:r>
      </w:hyperlink>
      <w:r>
        <w:t>.</w:t>
      </w:r>
    </w:p>
    <w:p>
      <w:pPr>
        <w:pStyle w:val="SourceText"/>
        <w:ind w:left="230" w:hanging="230"/>
      </w:pPr>
      <w:r>
        <w:t xml:space="preserve">[R11] Howard, Ramdas, McAuliffe, and Sekhon. Time-uniform nonparametric nonasymptotic confidence sequences. Annals of Statistics, 2021. </w:t>
      </w:r>
      <w:hyperlink r:id="rId22">
        <w:r>
          <w:rPr>
            <w:color w:val="234F74"/>
          </w:rPr>
          <w:t>arXiv 1810.08240</w:t>
        </w:r>
      </w:hyperlink>
      <w:r>
        <w:t>.</w:t>
      </w:r>
    </w:p>
    <w:p>
      <w:pPr>
        <w:pStyle w:val="SourceText"/>
        <w:ind w:left="230" w:hanging="230"/>
      </w:pPr>
      <w:r>
        <w:t xml:space="preserve">[R12] Liu et al. A Multi-Fidelity Control Variate Approach for Policy Gradient Estimation. </w:t>
      </w:r>
      <w:hyperlink r:id="rId23">
        <w:r>
          <w:rPr>
            <w:color w:val="234F74"/>
          </w:rPr>
          <w:t>arXiv 2503.05696</w:t>
        </w:r>
      </w:hyperlink>
      <w:r>
        <w:t>.</w:t>
      </w:r>
    </w:p>
    <w:p>
      <w:pPr>
        <w:pStyle w:val="SourceText"/>
        <w:ind w:left="230" w:hanging="230"/>
      </w:pPr>
      <w:r>
        <w:t xml:space="preserve">[R13] Poiani et al. Optimal Multi-Fidelity Best-Arm Identification. </w:t>
      </w:r>
      <w:hyperlink r:id="rId24">
        <w:r>
          <w:rPr>
            <w:color w:val="234F74"/>
          </w:rPr>
          <w:t>arXiv 2406.03033</w:t>
        </w:r>
      </w:hyperlink>
      <w:r>
        <w:t>.</w:t>
      </w:r>
    </w:p>
    <w:p>
      <w:pPr>
        <w:pStyle w:val="SourceText"/>
        <w:ind w:left="230" w:hanging="230"/>
      </w:pPr>
      <w:r>
        <w:t xml:space="preserve">[R14] Munich Quantum Toolkit. MQT QCEC partial equivalence checking and interface semantics. </w:t>
      </w:r>
      <w:hyperlink r:id="rId25">
        <w:r>
          <w:rPr>
            <w:color w:val="234F74"/>
          </w:rPr>
          <w:t>Official documentation</w:t>
        </w:r>
      </w:hyperlink>
      <w:r>
        <w:t>.</w:t>
      </w:r>
    </w:p>
    <w:p>
      <w:pPr>
        <w:pStyle w:val="Heading2"/>
      </w:pPr>
      <w:r>
        <w:t>20.2 Implementation sources</w:t>
      </w:r>
    </w:p>
    <w:p>
      <w:pPr>
        <w:pStyle w:val="SourceText"/>
        <w:ind w:left="230" w:hanging="230"/>
      </w:pPr>
      <w:r>
        <w:t xml:space="preserve">[S1] Qwen. </w:t>
      </w:r>
      <w:hyperlink r:id="rId26">
        <w:r>
          <w:rPr>
            <w:color w:val="234F74"/>
          </w:rPr>
          <w:t>Qwen3.6-35B-A3B model card</w:t>
        </w:r>
      </w:hyperlink>
      <w:r>
        <w:t>.</w:t>
      </w:r>
    </w:p>
    <w:p>
      <w:pPr>
        <w:pStyle w:val="SourceText"/>
        <w:ind w:left="230" w:hanging="230"/>
      </w:pPr>
      <w:r>
        <w:t xml:space="preserve">[S2] Qwen. </w:t>
      </w:r>
      <w:hyperlink r:id="rId27">
        <w:r>
          <w:rPr>
            <w:color w:val="234F74"/>
          </w:rPr>
          <w:t>Target model configuration</w:t>
        </w:r>
      </w:hyperlink>
      <w:r>
        <w:t>.</w:t>
      </w:r>
    </w:p>
    <w:p>
      <w:pPr>
        <w:pStyle w:val="SourceText"/>
        <w:ind w:left="230" w:hanging="230"/>
      </w:pPr>
      <w:r>
        <w:t xml:space="preserve">[S3] Hugging Face PEFT. </w:t>
      </w:r>
      <w:hyperlink r:id="rId28">
        <w:r>
          <w:rPr>
            <w:color w:val="234F74"/>
          </w:rPr>
          <w:t>LoRA API and parameter targeting</w:t>
        </w:r>
      </w:hyperlink>
      <w:r>
        <w:t>.</w:t>
      </w:r>
    </w:p>
    <w:p>
      <w:pPr>
        <w:pStyle w:val="SourceText"/>
        <w:ind w:left="230" w:hanging="230"/>
      </w:pPr>
      <w:r>
        <w:t xml:space="preserve">[S4] vLLM-Ascend. </w:t>
      </w:r>
      <w:hyperlink r:id="rId29">
        <w:r>
          <w:rPr>
            <w:color w:val="234F74"/>
          </w:rPr>
          <w:t>Target model deployment entry</w:t>
        </w:r>
      </w:hyperlink>
      <w:r>
        <w:t>.</w:t>
      </w:r>
    </w:p>
    <w:p>
      <w:pPr>
        <w:pStyle w:val="SourceText"/>
        <w:ind w:left="230" w:hanging="230"/>
      </w:pPr>
      <w:r>
        <w:t xml:space="preserve">[S5] verl. </w:t>
      </w:r>
      <w:hyperlink r:id="rId30">
        <w:r>
          <w:rPr>
            <w:color w:val="234F74"/>
          </w:rPr>
          <w:t>Training and rollout framework</w:t>
        </w:r>
      </w:hyperlink>
      <w:r>
        <w:t>.</w:t>
      </w:r>
    </w:p>
    <w:p>
      <w:pPr>
        <w:pStyle w:val="SourceText"/>
        <w:ind w:left="230" w:hanging="230"/>
      </w:pPr>
      <w:r>
        <w:t xml:space="preserve">[S6] Liu et al. </w:t>
      </w:r>
      <w:hyperlink r:id="rId31">
        <w:r>
          <w:rPr>
            <w:color w:val="234F74"/>
          </w:rPr>
          <w:t>Understanding R1-Zero-Like Training</w:t>
        </w:r>
      </w:hyperlink>
      <w:r>
        <w:t>.</w:t>
      </w:r>
    </w:p>
    <w:p>
      <w:pPr>
        <w:pStyle w:val="SourceText"/>
        <w:ind w:left="230" w:hanging="230"/>
      </w:pPr>
      <w:r>
        <w:t xml:space="preserve">[S7] Yu et al. </w:t>
      </w:r>
      <w:hyperlink r:id="rId32">
        <w:r>
          <w:rPr>
            <w:color w:val="234F74"/>
          </w:rPr>
          <w:t>DAPO</w:t>
        </w:r>
      </w:hyperlink>
      <w:r>
        <w:t xml:space="preserve">. Hugging Face. </w:t>
      </w:r>
      <w:hyperlink r:id="rId33">
        <w:r>
          <w:rPr>
            <w:color w:val="234F74"/>
          </w:rPr>
          <w:t>TRL GRPO Trainer</w:t>
        </w:r>
      </w:hyperlink>
      <w:r>
        <w:t>.</w:t>
      </w:r>
    </w:p>
    <w:p>
      <w:pPr>
        <w:pStyle w:val="SourceText"/>
        <w:ind w:left="230" w:hanging="230"/>
      </w:pPr>
      <w:r>
        <w:t xml:space="preserve">[S8] IBM Quantum. </w:t>
      </w:r>
      <w:hyperlink r:id="rId34">
        <w:r>
          <w:rPr>
            <w:color w:val="234F74"/>
          </w:rPr>
          <w:t>Bit ordering</w:t>
        </w:r>
      </w:hyperlink>
      <w:r>
        <w:t>.</w:t>
      </w:r>
    </w:p>
    <w:p>
      <w:pPr>
        <w:pStyle w:val="SourceText"/>
        <w:ind w:left="230" w:hanging="230"/>
      </w:pPr>
      <w:r>
        <w:t xml:space="preserve">[S9] MindSpore. </w:t>
      </w:r>
      <w:hyperlink r:id="rId35">
        <w:r>
          <w:rPr>
            <w:color w:val="234F74"/>
          </w:rPr>
          <w:t>MindQuantum</w:t>
        </w:r>
      </w:hyperlink>
      <w:r>
        <w:t>.</w:t>
      </w:r>
    </w:p>
    <w:p>
      <w:pPr>
        <w:pStyle w:val="SourceText"/>
        <w:ind w:left="230" w:hanging="230"/>
      </w:pPr>
      <w:r>
        <w:t xml:space="preserve">[S10] PennyLane. </w:t>
      </w:r>
      <w:hyperlink r:id="rId36">
        <w:r>
          <w:rPr>
            <w:color w:val="234F74"/>
          </w:rPr>
          <w:t>Official documentation</w:t>
        </w:r>
      </w:hyperlink>
      <w:r>
        <w:t>.</w:t>
      </w:r>
    </w:p>
    <w:p>
      <w:pPr>
        <w:pStyle w:val="SourceText"/>
        <w:ind w:left="230" w:hanging="230"/>
      </w:pPr>
      <w:r>
        <w:t xml:space="preserve">[S11] IBM Quantum. </w:t>
      </w:r>
      <w:hyperlink r:id="rId37">
        <w:r>
          <w:rPr>
            <w:color w:val="234F74"/>
          </w:rPr>
          <w:t>Quantum information API</w:t>
        </w:r>
      </w:hyperlink>
      <w:r>
        <w:t>.</w:t>
      </w:r>
    </w:p>
    <w:p>
      <w:pPr>
        <w:pStyle w:val="SourceText"/>
        <w:ind w:left="230" w:hanging="230"/>
      </w:pPr>
      <w:r>
        <w:t xml:space="preserve">[S12] Qiskit Aer. </w:t>
      </w:r>
      <w:hyperlink r:id="rId38">
        <w:r>
          <w:rPr>
            <w:color w:val="234F74"/>
          </w:rPr>
          <w:t>AerSimulator</w:t>
        </w:r>
      </w:hyperlink>
      <w:r>
        <w:t>.</w:t>
      </w:r>
    </w:p>
    <w:p>
      <w:pPr>
        <w:pStyle w:val="SourceText"/>
        <w:ind w:left="230" w:hanging="230"/>
      </w:pPr>
      <w:r>
        <w:t xml:space="preserve">[S13] PyZX. </w:t>
      </w:r>
      <w:hyperlink r:id="rId39">
        <w:r>
          <w:rPr>
            <w:color w:val="234F74"/>
          </w:rPr>
          <w:t>Official documentation</w:t>
        </w:r>
      </w:hyperlink>
      <w:r>
        <w:t>.</w:t>
      </w:r>
    </w:p>
    <w:p>
      <w:pPr>
        <w:pStyle w:val="SourceText"/>
        <w:ind w:left="230" w:hanging="230"/>
      </w:pPr>
      <w:r>
        <w:t xml:space="preserve">[S14] Lean. </w:t>
      </w:r>
      <w:hyperlink r:id="rId40">
        <w:r>
          <w:rPr>
            <w:color w:val="234F74"/>
          </w:rPr>
          <w:t>Validating a Lean Proof</w:t>
        </w:r>
      </w:hyperlink>
      <w:r>
        <w:t>.</w:t>
      </w:r>
    </w:p>
    <w:p>
      <w:pPr>
        <w:pStyle w:val="SourceText"/>
        <w:ind w:left="230" w:hanging="230"/>
      </w:pPr>
      <w:r>
        <w:t xml:space="preserve">[S15] Lean community. </w:t>
      </w:r>
      <w:hyperlink r:id="rId41">
        <w:r>
          <w:rPr>
            <w:color w:val="234F74"/>
          </w:rPr>
          <w:t>Physlib</w:t>
        </w:r>
      </w:hyperlink>
      <w:r>
        <w:t>.</w:t>
      </w:r>
    </w:p>
    <w:p>
      <w:pPr>
        <w:pStyle w:val="SourceText"/>
        <w:ind w:left="230" w:hanging="230"/>
      </w:pPr>
      <w:r>
        <w:t xml:space="preserve">[S16] inQWIRE. </w:t>
      </w:r>
      <w:hyperlink r:id="rId42">
        <w:r>
          <w:rPr>
            <w:color w:val="234F74"/>
          </w:rPr>
          <w:t>LeanQuantum</w:t>
        </w:r>
      </w:hyperlink>
      <w:r>
        <w:t>.</w:t>
      </w:r>
    </w:p>
    <w:p>
      <w:pPr>
        <w:pStyle w:val="SourceText"/>
        <w:ind w:left="230" w:hanging="230"/>
      </w:pPr>
      <w:r>
        <w:t xml:space="preserve">[S17] Quantumlib. </w:t>
      </w:r>
      <w:hyperlink r:id="rId43">
        <w:r>
          <w:rPr>
            <w:color w:val="234F74"/>
          </w:rPr>
          <w:t>Stim</w:t>
        </w:r>
      </w:hyperlink>
      <w:r>
        <w:t>.</w:t>
      </w:r>
    </w:p>
    <w:p>
      <w:pPr>
        <w:pStyle w:val="SourceText"/>
        <w:ind w:left="230" w:hanging="230"/>
      </w:pPr>
      <w:r>
        <w:t xml:space="preserve">[S18] PyMatching. </w:t>
      </w:r>
      <w:hyperlink r:id="rId44">
        <w:r>
          <w:rPr>
            <w:color w:val="234F74"/>
          </w:rPr>
          <w:t>Official documentation</w:t>
        </w:r>
      </w:hyperlink>
      <w:r>
        <w:t>.</w:t>
      </w:r>
    </w:p>
    <w:p>
      <w:pPr>
        <w:pStyle w:val="SourceText"/>
        <w:ind w:left="230" w:hanging="230"/>
      </w:pPr>
      <w:r>
        <w:t xml:space="preserve">[S19] Qiskit community. </w:t>
      </w:r>
      <w:hyperlink r:id="rId45">
        <w:r>
          <w:rPr>
            <w:color w:val="234F74"/>
          </w:rPr>
          <w:t>Qiskit HumanEval</w:t>
        </w:r>
      </w:hyperlink>
      <w:r>
        <w:t>.</w:t>
      </w:r>
    </w:p>
    <w:p>
      <w:pPr>
        <w:pStyle w:val="SourceText"/>
        <w:ind w:left="230" w:hanging="230"/>
      </w:pPr>
      <w:r>
        <w:t xml:space="preserve">[S20] Munich Quantum Toolkit. </w:t>
      </w:r>
      <w:hyperlink r:id="rId46">
        <w:r>
          <w:rPr>
            <w:color w:val="234F74"/>
          </w:rPr>
          <w:t>MQT Bench</w:t>
        </w:r>
      </w:hyperlink>
      <w:r>
        <w:t>.</w:t>
      </w:r>
    </w:p>
    <w:p>
      <w:pPr>
        <w:pStyle w:val="SourceText"/>
        <w:ind w:left="230" w:hanging="230"/>
      </w:pPr>
      <w:r>
        <w:t xml:space="preserve">[S21] PNNL. </w:t>
      </w:r>
      <w:hyperlink r:id="rId47">
        <w:r>
          <w:rPr>
            <w:color w:val="234F74"/>
          </w:rPr>
          <w:t>QASMBench</w:t>
        </w:r>
      </w:hyperlink>
      <w:r>
        <w:t>.</w:t>
      </w:r>
    </w:p>
    <w:p>
      <w:pPr>
        <w:pStyle w:val="SourceText"/>
        <w:ind w:left="230" w:hanging="230"/>
      </w:pPr>
      <w:r>
        <w:t xml:space="preserve">[S22] Microsoft. </w:t>
      </w:r>
      <w:hyperlink r:id="rId48">
        <w:r>
          <w:rPr>
            <w:color w:val="234F74"/>
          </w:rPr>
          <w:t>QDK</w:t>
        </w:r>
      </w:hyperlink>
      <w:r>
        <w:t xml:space="preserve"> and </w:t>
      </w:r>
      <w:hyperlink r:id="rId49">
        <w:r>
          <w:rPr>
            <w:color w:val="234F74"/>
          </w:rPr>
          <w:t>Quantum Katas</w:t>
        </w:r>
      </w:hyperlink>
      <w:r>
        <w:t>.</w:t>
      </w:r>
    </w:p>
    <w:p>
      <w:pPr>
        <w:pStyle w:val="SourceText"/>
        <w:ind w:left="230" w:hanging="230"/>
      </w:pPr>
      <w:r>
        <w:t xml:space="preserve">[S23] OpenQASM. </w:t>
      </w:r>
      <w:hyperlink r:id="rId50">
        <w:r>
          <w:rPr>
            <w:color w:val="234F74"/>
          </w:rPr>
          <w:t>Language specification</w:t>
        </w:r>
      </w:hyperlink>
      <w:r>
        <w:t>.</w:t>
      </w:r>
    </w:p>
    <w:p>
      <w:pPr>
        <w:pStyle w:val="SourceText"/>
        <w:ind w:left="230" w:hanging="230"/>
      </w:pPr>
      <w:r>
        <w:t xml:space="preserve">[S24] NVIDIA. </w:t>
      </w:r>
      <w:hyperlink r:id="rId51">
        <w:r>
          <w:rPr>
            <w:color w:val="234F74"/>
          </w:rPr>
          <w:t>cuQuantum documentation</w:t>
        </w:r>
      </w:hyperlink>
      <w:r>
        <w:t>.</w:t>
      </w:r>
    </w:p>
    <w:sectPr w:rsidR="00FC693F" w:rsidRPr="0006063C" w:rsidSect="00034616">
      <w:footerReference w:type="default" r:id="rId9"/>
      <w:pgSz w:w="12240" w:h="15840"/>
      <w:pgMar w:top="1008" w:right="1080" w:bottom="936" w:left="1080" w:header="720" w:footer="40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r>
      <w:rPr>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269" w:lineRule="auto" w:after="120"/>
    </w:pPr>
    <w:rPr>
      <w:rFonts w:ascii="DejaVu Sans" w:hAnsi="DejaVu Sans" w:cs="DejaVu Sans" w:eastAsia="DejaVu Sans"/>
      <w:b w:val="0"/>
      <w:color w:val="000000"/>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4" w:lineRule="auto"/>
      <w:outlineLvl w:val="0"/>
      <w:snapToGrid w:val="0"/>
    </w:pPr>
    <w:rPr>
      <w:rFonts w:ascii="DejaVu Sans" w:hAnsi="DejaVu Sans" w:cs="DejaVu Sans" w:eastAsia="DejaVu Sans"/>
      <w:b/>
      <w:bCs/>
      <w:color w:val="000000"/>
      <w:sz w:val="30"/>
      <w:szCs w:val="28"/>
      <w:lang w:val="en-US" w:eastAsia="zh-CN"/>
    </w:rPr>
  </w:style>
  <w:style w:type="paragraph" w:styleId="Heading2">
    <w:name w:val="heading 2"/>
    <w:basedOn w:val="Normal"/>
    <w:next w:val="Normal"/>
    <w:link w:val="Heading2Char"/>
    <w:uiPriority w:val="9"/>
    <w:unhideWhenUsed/>
    <w:qFormat/>
    <w:rsid w:val="00FC693F"/>
    <w:pPr>
      <w:keepNext/>
      <w:keepLines/>
      <w:spacing w:before="260" w:after="120" w:line="264" w:lineRule="auto"/>
      <w:outlineLvl w:val="1"/>
      <w:snapToGrid w:val="0"/>
    </w:pPr>
    <w:rPr>
      <w:rFonts w:ascii="DejaVu Sans" w:hAnsi="DejaVu Sans" w:cs="DejaVu Sans" w:eastAsia="DejaVu Sans"/>
      <w:b/>
      <w:bCs/>
      <w:color w:val="000000"/>
      <w:sz w:val="24"/>
      <w:szCs w:val="26"/>
      <w:lang w:val="en-US" w:eastAsia="zh-CN"/>
    </w:rPr>
  </w:style>
  <w:style w:type="paragraph" w:styleId="Heading3">
    <w:name w:val="heading 3"/>
    <w:basedOn w:val="Normal"/>
    <w:next w:val="Normal"/>
    <w:link w:val="Heading3Char"/>
    <w:uiPriority w:val="9"/>
    <w:unhideWhenUsed/>
    <w:qFormat/>
    <w:rsid w:val="00FC693F"/>
    <w:pPr>
      <w:keepNext/>
      <w:keepLines/>
      <w:spacing w:before="260" w:after="120" w:line="264" w:lineRule="auto"/>
      <w:outlineLvl w:val="2"/>
      <w:snapToGrid w:val="0"/>
    </w:pPr>
    <w:rPr>
      <w:rFonts w:ascii="DejaVu Sans" w:hAnsi="DejaVu Sans" w:cs="DejaVu Sans" w:eastAsia="DejaVu Sans"/>
      <w:b/>
      <w:bCs/>
      <w:color w:val="000000"/>
      <w:sz w:val="22"/>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snapToGrid w:val="0"/>
    </w:pPr>
    <w:rPr>
      <w:rFonts w:ascii="DejaVu Sans" w:hAnsi="DejaVu Sans" w:cs="DejaVu Sans" w:eastAsia="DejaVu Sans"/>
      <w:b/>
      <w:color w:val="000000"/>
      <w:spacing w:val="5"/>
      <w:kern w:val="28"/>
      <w:sz w:val="4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DejaVu Sans" w:hAnsi="DejaVu Sans" w:cs="DejaVu Sans" w:eastAsia="DejaVu Sans"/>
      <w:b w:val="0"/>
      <w:i/>
      <w:iCs/>
      <w:color w:val="000000"/>
      <w:spacing w:val="15"/>
      <w:sz w:val="20"/>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napToGrid w:val="0"/>
      <w:spacing w:line="252" w:lineRule="auto" w:after="0"/>
      <w:ind w:left="115"/>
    </w:pPr>
    <w:rPr>
      <w:rFonts w:ascii="DejaVu Sans Mono" w:hAnsi="DejaVu Sans Mono" w:cs="DejaVu Sans Mono" w:eastAsia="DejaVu Sans"/>
      <w:b w:val="0"/>
      <w:color w:val="000000"/>
      <w:sz w:val="16"/>
      <w:lang w:val="en-US" w:eastAsia="zh-CN"/>
    </w:rPr>
  </w:style>
  <w:style w:type="paragraph" w:customStyle="1" w:styleId="SourceText">
    <w:name w:val="Source Text"/>
    <w:pPr>
      <w:snapToGrid w:val="0"/>
      <w:spacing w:after="80" w:line="269" w:lineRule="auto"/>
    </w:pPr>
    <w:rPr>
      <w:rFonts w:ascii="DejaVu Sans" w:hAnsi="DejaVu Sans" w:cs="DejaVu Sans" w:eastAsia="DejaVu Sans"/>
      <w:b w:val="0"/>
      <w:color w:val="000000"/>
      <w:sz w:val="19"/>
      <w:lang w:val="en-US" w:eastAsia="zh-CN"/>
    </w:rPr>
  </w:style>
  <w:style w:type="paragraph" w:customStyle="1" w:styleId="TableText">
    <w:name w:val="Table Text"/>
    <w:pPr>
      <w:snapToGrid w:val="0"/>
      <w:spacing w:after="60" w:before="60" w:line="264" w:lineRule="auto"/>
    </w:pPr>
    <w:rPr>
      <w:rFonts w:ascii="DejaVu Sans" w:hAnsi="DejaVu Sans" w:cs="DejaVu Sans" w:eastAsia="DejaVu Sans"/>
      <w:b w:val="0"/>
      <w:color w:val="000000"/>
      <w:sz w:val="19"/>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510.00967" TargetMode="External"/><Relationship Id="rId12" Type="http://schemas.openxmlformats.org/officeDocument/2006/relationships/hyperlink" Target="https://doi.org/10.1145/3786335.3813148" TargetMode="External"/><Relationship Id="rId13" Type="http://schemas.openxmlformats.org/officeDocument/2006/relationships/hyperlink" Target="https://research.aalto.fi/en/publications/vista-verifier-in-the-loop-agentic-reinforcement-learning-for-qua/" TargetMode="External"/><Relationship Id="rId14" Type="http://schemas.openxmlformats.org/officeDocument/2006/relationships/hyperlink" Target="https://arxiv.org/abs/2607.07554" TargetMode="External"/><Relationship Id="rId15" Type="http://schemas.openxmlformats.org/officeDocument/2006/relationships/hyperlink" Target="https://arxiv.org/abs/2604.18176" TargetMode="External"/><Relationship Id="rId16" Type="http://schemas.openxmlformats.org/officeDocument/2006/relationships/hyperlink" Target="https://arxiv.org/abs/2610.01548" TargetMode="External"/><Relationship Id="rId17" Type="http://schemas.openxmlformats.org/officeDocument/2006/relationships/hyperlink" Target="https://arxiv.org/abs/2206.01111" TargetMode="External"/><Relationship Id="rId18" Type="http://schemas.openxmlformats.org/officeDocument/2006/relationships/hyperlink" Target="https://arxiv.org/abs/2606.28742" TargetMode="External"/><Relationship Id="rId19" Type="http://schemas.openxmlformats.org/officeDocument/2006/relationships/hyperlink" Target="https://arxiv.org/abs/2610.00255" TargetMode="External"/><Relationship Id="rId20" Type="http://schemas.openxmlformats.org/officeDocument/2006/relationships/hyperlink" Target="https://arxiv.org/abs/2610.02700" TargetMode="External"/><Relationship Id="rId21" Type="http://schemas.openxmlformats.org/officeDocument/2006/relationships/hyperlink" Target="https://arxiv.org/abs/2603.19514" TargetMode="External"/><Relationship Id="rId22" Type="http://schemas.openxmlformats.org/officeDocument/2006/relationships/hyperlink" Target="https://arxiv.org/abs/1810.08240" TargetMode="External"/><Relationship Id="rId23" Type="http://schemas.openxmlformats.org/officeDocument/2006/relationships/hyperlink" Target="https://arxiv.org/abs/2503.05696" TargetMode="External"/><Relationship Id="rId24" Type="http://schemas.openxmlformats.org/officeDocument/2006/relationships/hyperlink" Target="https://arxiv.org/abs/2406.03033" TargetMode="External"/><Relationship Id="rId25" Type="http://schemas.openxmlformats.org/officeDocument/2006/relationships/hyperlink" Target="https://mqt.readthedocs.io/projects/qcec/en/stable/partial_equivalence.html" TargetMode="External"/><Relationship Id="rId26" Type="http://schemas.openxmlformats.org/officeDocument/2006/relationships/hyperlink" Target="https://huggingface.co/Qwen/Qwen3.6-35B-A3B" TargetMode="External"/><Relationship Id="rId27" Type="http://schemas.openxmlformats.org/officeDocument/2006/relationships/hyperlink" Target="https://huggingface.co/Qwen/Qwen3.6-35B-A3B/raw/main/config.json" TargetMode="External"/><Relationship Id="rId28" Type="http://schemas.openxmlformats.org/officeDocument/2006/relationships/hyperlink" Target="https://huggingface.co/docs/peft/en/package_reference/lora" TargetMode="External"/><Relationship Id="rId29" Type="http://schemas.openxmlformats.org/officeDocument/2006/relationships/hyperlink" Target="https://docs.vllm.ai/projects/ascend/en/main/tutorials/models/Qwen3.6-35B-A3B.html" TargetMode="External"/><Relationship Id="rId30" Type="http://schemas.openxmlformats.org/officeDocument/2006/relationships/hyperlink" Target="https://github.com/verl-project/verl" TargetMode="External"/><Relationship Id="rId31" Type="http://schemas.openxmlformats.org/officeDocument/2006/relationships/hyperlink" Target="https://arxiv.org/abs/2503.20783" TargetMode="External"/><Relationship Id="rId32" Type="http://schemas.openxmlformats.org/officeDocument/2006/relationships/hyperlink" Target="https://arxiv.org/abs/2503.14476" TargetMode="External"/><Relationship Id="rId33" Type="http://schemas.openxmlformats.org/officeDocument/2006/relationships/hyperlink" Target="https://huggingface.co/docs/trl/grpo_trainer" TargetMode="External"/><Relationship Id="rId34" Type="http://schemas.openxmlformats.org/officeDocument/2006/relationships/hyperlink" Target="https://quantum.cloud.ibm.com/docs/en/guides/bit-ordering" TargetMode="External"/><Relationship Id="rId35" Type="http://schemas.openxmlformats.org/officeDocument/2006/relationships/hyperlink" Target="https://github.com/mindspore-ai/mindquantum" TargetMode="External"/><Relationship Id="rId36" Type="http://schemas.openxmlformats.org/officeDocument/2006/relationships/hyperlink" Target="https://docs.pennylane.ai/en/stable/" TargetMode="External"/><Relationship Id="rId37" Type="http://schemas.openxmlformats.org/officeDocument/2006/relationships/hyperlink" Target="https://quantum.cloud.ibm.com/docs/en/api/qiskit/quantum_info" TargetMode="External"/><Relationship Id="rId38" Type="http://schemas.openxmlformats.org/officeDocument/2006/relationships/hyperlink" Target="https://qiskit.github.io/qiskit-aer/stubs/qiskit_aer.AerSimulator.html" TargetMode="External"/><Relationship Id="rId39" Type="http://schemas.openxmlformats.org/officeDocument/2006/relationships/hyperlink" Target="https://pyzx.readthedocs.io/en/latest/" TargetMode="External"/><Relationship Id="rId40" Type="http://schemas.openxmlformats.org/officeDocument/2006/relationships/hyperlink" Target="https://lean-lang.org/doc/reference/latest/ValidatingProofs/" TargetMode="External"/><Relationship Id="rId41" Type="http://schemas.openxmlformats.org/officeDocument/2006/relationships/hyperlink" Target="https://github.com/leanprover-community/physlib" TargetMode="External"/><Relationship Id="rId42" Type="http://schemas.openxmlformats.org/officeDocument/2006/relationships/hyperlink" Target="https://github.com/inQWIRE/LeanQuantum" TargetMode="External"/><Relationship Id="rId43" Type="http://schemas.openxmlformats.org/officeDocument/2006/relationships/hyperlink" Target="https://github.com/quantumlib/Stim" TargetMode="External"/><Relationship Id="rId44" Type="http://schemas.openxmlformats.org/officeDocument/2006/relationships/hyperlink" Target="https://pymatching.readthedocs.io/en/stable/" TargetMode="External"/><Relationship Id="rId45" Type="http://schemas.openxmlformats.org/officeDocument/2006/relationships/hyperlink" Target="https://github.com/qiskit-community/qiskit-human-eval" TargetMode="External"/><Relationship Id="rId46" Type="http://schemas.openxmlformats.org/officeDocument/2006/relationships/hyperlink" Target="https://github.com/munich-quantum-toolkit/bench" TargetMode="External"/><Relationship Id="rId47" Type="http://schemas.openxmlformats.org/officeDocument/2006/relationships/hyperlink" Target="https://github.com/pnnl/QASMBench" TargetMode="External"/><Relationship Id="rId48" Type="http://schemas.openxmlformats.org/officeDocument/2006/relationships/hyperlink" Target="https://github.com/microsoft/qdk" TargetMode="External"/><Relationship Id="rId49" Type="http://schemas.openxmlformats.org/officeDocument/2006/relationships/hyperlink" Target="https://github.com/microsoft/QuantumKatas" TargetMode="External"/><Relationship Id="rId50" Type="http://schemas.openxmlformats.org/officeDocument/2006/relationships/hyperlink" Target="https://openqasm.com/" TargetMode="External"/><Relationship Id="rId51" Type="http://schemas.openxmlformats.org/officeDocument/2006/relationships/hyperlink" Target="https://docs.nvidia.com/cuda/cuquantum/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Science and Programming Post Training</dc:title>
  <dc:subject>Research and engineering specification for Qwen3.6-35B-A3B</dc:subject>
  <dc:creator/>
  <cp:keywords>Qwen3.6, quantum computing, post-training, GRPO, Future-Code</cp:keywords>
  <dc:description>generated by python-docx</dc:description>
  <cp:lastModifiedBy/>
  <cp:revision>1</cp:revision>
  <dcterms:created xsi:type="dcterms:W3CDTF">2013-12-23T23:15:00Z</dcterms:created>
  <dcterms:modified xsi:type="dcterms:W3CDTF">2013-12-23T23:15:00Z</dcterms:modified>
  <cp:category/>
</cp:coreProperties>
</file>