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
        <w:rPr>
          <w:rFonts w:ascii="宋体" w:hAnsi="宋体" w:eastAsia="宋体"/>
          <w:b/>
          <w:color w:val="000000"/>
          <w:sz w:val="44"/>
        </w:rPr>
        <w:t>抗量子算法工具集软件V1.0</w:t>
      </w:r>
    </w:p>
    <w:p>
      <w:pPr>
        <w:jc w:val="center"/>
      </w:pPr>
      <w:r/>
      <w:r>
        <w:rPr>
          <w:rFonts w:ascii="宋体" w:hAnsi="宋体" w:eastAsia="宋体"/>
          <w:b/>
          <w:color w:val="000000"/>
          <w:sz w:val="40"/>
        </w:rPr>
        <w:t>设计说明书及使用说明文档</w:t>
      </w:r>
    </w:p>
    <w:p/>
    <w:p>
      <w:pPr>
        <w:jc w:val="center"/>
      </w:pPr>
      <w:r/>
      <w:r>
        <w:rPr>
          <w:rFonts w:ascii="宋体" w:hAnsi="宋体" w:eastAsia="宋体"/>
          <w:b w:val="0"/>
          <w:color w:val="000000"/>
          <w:sz w:val="24"/>
        </w:rPr>
        <w:t>文档版本：V1.0</w:t>
      </w:r>
    </w:p>
    <w:p>
      <w:pPr>
        <w:jc w:val="center"/>
      </w:pPr>
      <w:r/>
      <w:r>
        <w:rPr>
          <w:rFonts w:ascii="宋体" w:hAnsi="宋体" w:eastAsia="宋体"/>
          <w:b w:val="0"/>
          <w:color w:val="000000"/>
          <w:sz w:val="24"/>
        </w:rPr>
        <w:t>软件版本：V1.0</w:t>
      </w:r>
    </w:p>
    <w:p>
      <w:pPr>
        <w:jc w:val="center"/>
      </w:pPr>
      <w:r/>
      <w:r>
        <w:rPr>
          <w:rFonts w:ascii="宋体" w:hAnsi="宋体" w:eastAsia="宋体"/>
          <w:b w:val="0"/>
          <w:color w:val="000000"/>
          <w:sz w:val="24"/>
        </w:rPr>
        <w:t>软件简称：QCrypto Toolkit</w:t>
      </w:r>
    </w:p>
    <w:p>
      <w:pPr>
        <w:jc w:val="center"/>
      </w:pPr>
      <w:r/>
      <w:r>
        <w:rPr>
          <w:rFonts w:ascii="宋体" w:hAnsi="宋体" w:eastAsia="宋体"/>
          <w:b w:val="0"/>
          <w:color w:val="000000"/>
          <w:sz w:val="24"/>
        </w:rPr>
        <w:t>著作权人：许达</w:t>
      </w:r>
    </w:p>
    <w:p>
      <w:pPr>
        <w:jc w:val="center"/>
      </w:pPr>
      <w:r/>
      <w:r>
        <w:rPr>
          <w:rFonts w:ascii="宋体" w:hAnsi="宋体" w:eastAsia="宋体"/>
          <w:b w:val="0"/>
          <w:color w:val="000000"/>
          <w:sz w:val="24"/>
        </w:rPr>
        <w:t>作者：许达</w:t>
      </w:r>
    </w:p>
    <w:p>
      <w:pPr>
        <w:jc w:val="center"/>
      </w:pPr>
      <w:r/>
      <w:r>
        <w:rPr>
          <w:rFonts w:ascii="宋体" w:hAnsi="宋体" w:eastAsia="宋体"/>
          <w:b w:val="0"/>
          <w:color w:val="000000"/>
          <w:sz w:val="24"/>
        </w:rPr>
        <w:t>开发完成日期：2026年04月27日</w:t>
      </w:r>
    </w:p>
    <w:p>
      <w:pPr>
        <w:jc w:val="center"/>
      </w:pPr>
      <w:r/>
      <w:r>
        <w:rPr>
          <w:rFonts w:ascii="宋体" w:hAnsi="宋体" w:eastAsia="宋体"/>
          <w:b w:val="0"/>
          <w:color w:val="000000"/>
          <w:sz w:val="24"/>
        </w:rPr>
        <w:t>发表状态：未发表</w:t>
      </w:r>
    </w:p>
    <w:p>
      <w:r>
        <w:br w:type="page"/>
      </w:r>
    </w:p>
    <w:p>
      <w:pPr>
        <w:jc w:val="center"/>
      </w:pPr>
      <w:r/>
      <w:r>
        <w:rPr>
          <w:rFonts w:ascii="宋体" w:hAnsi="宋体" w:eastAsia="宋体"/>
          <w:b/>
          <w:color w:val="000000"/>
          <w:sz w:val="32"/>
        </w:rPr>
        <w:t>目录</w:t>
      </w:r>
    </w:p>
    <w:p>
      <w:pPr>
        <w:tabs>
          <w:tab w:pos="9298" w:val="right" w:leader="dot"/>
        </w:tabs>
        <w:spacing w:line="240" w:lineRule="auto" w:after="0"/>
      </w:pPr>
      <w:r/>
      <w:r>
        <w:rPr>
          <w:rFonts w:ascii="宋体" w:hAnsi="宋体" w:eastAsia="宋体"/>
          <w:b w:val="0"/>
          <w:color w:val="000000"/>
          <w:sz w:val="19"/>
        </w:rPr>
        <w:t>1、 总体业务说明</w:t>
        <w:tab/>
        <w:t>4</w:t>
      </w:r>
    </w:p>
    <w:p>
      <w:pPr>
        <w:tabs>
          <w:tab w:pos="9298" w:val="right" w:leader="dot"/>
        </w:tabs>
        <w:spacing w:line="240" w:lineRule="auto" w:after="0"/>
      </w:pPr>
      <w:r/>
      <w:r>
        <w:rPr>
          <w:rFonts w:ascii="宋体" w:hAnsi="宋体" w:eastAsia="宋体"/>
          <w:b w:val="0"/>
          <w:color w:val="000000"/>
          <w:sz w:val="19"/>
        </w:rPr>
        <w:t>1.1 编写目的</w:t>
        <w:tab/>
        <w:t>4</w:t>
      </w:r>
    </w:p>
    <w:p>
      <w:pPr>
        <w:tabs>
          <w:tab w:pos="9298" w:val="right" w:leader="dot"/>
        </w:tabs>
        <w:spacing w:line="240" w:lineRule="auto" w:after="0"/>
      </w:pPr>
      <w:r/>
      <w:r>
        <w:rPr>
          <w:rFonts w:ascii="宋体" w:hAnsi="宋体" w:eastAsia="宋体"/>
          <w:b w:val="0"/>
          <w:color w:val="000000"/>
          <w:sz w:val="19"/>
        </w:rPr>
        <w:t>1.2 适用对象</w:t>
        <w:tab/>
        <w:t>4</w:t>
      </w:r>
    </w:p>
    <w:p>
      <w:pPr>
        <w:tabs>
          <w:tab w:pos="9298" w:val="right" w:leader="dot"/>
        </w:tabs>
        <w:spacing w:line="240" w:lineRule="auto" w:after="0"/>
      </w:pPr>
      <w:r/>
      <w:r>
        <w:rPr>
          <w:rFonts w:ascii="宋体" w:hAnsi="宋体" w:eastAsia="宋体"/>
          <w:b w:val="0"/>
          <w:color w:val="000000"/>
          <w:sz w:val="19"/>
        </w:rPr>
        <w:t>1.3 软件定位</w:t>
        <w:tab/>
        <w:t>4</w:t>
      </w:r>
    </w:p>
    <w:p>
      <w:pPr>
        <w:tabs>
          <w:tab w:pos="9298" w:val="right" w:leader="dot"/>
        </w:tabs>
        <w:spacing w:line="240" w:lineRule="auto" w:after="0"/>
      </w:pPr>
      <w:r/>
      <w:r>
        <w:rPr>
          <w:rFonts w:ascii="宋体" w:hAnsi="宋体" w:eastAsia="宋体"/>
          <w:b w:val="0"/>
          <w:color w:val="000000"/>
          <w:sz w:val="19"/>
        </w:rPr>
        <w:t>2、 系统总体设计</w:t>
        <w:tab/>
        <w:t>5</w:t>
      </w:r>
    </w:p>
    <w:p>
      <w:pPr>
        <w:tabs>
          <w:tab w:pos="9298" w:val="right" w:leader="dot"/>
        </w:tabs>
        <w:spacing w:line="240" w:lineRule="auto" w:after="0"/>
      </w:pPr>
      <w:r/>
      <w:r>
        <w:rPr>
          <w:rFonts w:ascii="宋体" w:hAnsi="宋体" w:eastAsia="宋体"/>
          <w:b w:val="0"/>
          <w:color w:val="000000"/>
          <w:sz w:val="19"/>
        </w:rPr>
        <w:t>2.1 总体架构</w:t>
        <w:tab/>
        <w:t>5</w:t>
      </w:r>
    </w:p>
    <w:p>
      <w:pPr>
        <w:tabs>
          <w:tab w:pos="9298" w:val="right" w:leader="dot"/>
        </w:tabs>
        <w:spacing w:line="240" w:lineRule="auto" w:after="0"/>
      </w:pPr>
      <w:r/>
      <w:r>
        <w:rPr>
          <w:rFonts w:ascii="宋体" w:hAnsi="宋体" w:eastAsia="宋体"/>
          <w:b w:val="0"/>
          <w:color w:val="000000"/>
          <w:sz w:val="19"/>
        </w:rPr>
        <w:t>2.2 模块结构</w:t>
        <w:tab/>
        <w:t>6</w:t>
      </w:r>
    </w:p>
    <w:p>
      <w:pPr>
        <w:tabs>
          <w:tab w:pos="9298" w:val="right" w:leader="dot"/>
        </w:tabs>
        <w:spacing w:line="240" w:lineRule="auto" w:after="0"/>
      </w:pPr>
      <w:r/>
      <w:r>
        <w:rPr>
          <w:rFonts w:ascii="宋体" w:hAnsi="宋体" w:eastAsia="宋体"/>
          <w:b w:val="0"/>
          <w:color w:val="000000"/>
          <w:sz w:val="19"/>
        </w:rPr>
        <w:t>2.3 运行流程</w:t>
        <w:tab/>
        <w:t>7</w:t>
      </w:r>
    </w:p>
    <w:p>
      <w:pPr>
        <w:tabs>
          <w:tab w:pos="9298" w:val="right" w:leader="dot"/>
        </w:tabs>
        <w:spacing w:line="240" w:lineRule="auto" w:after="0"/>
      </w:pPr>
      <w:r/>
      <w:r>
        <w:rPr>
          <w:rFonts w:ascii="宋体" w:hAnsi="宋体" w:eastAsia="宋体"/>
          <w:b w:val="0"/>
          <w:color w:val="000000"/>
          <w:sz w:val="19"/>
        </w:rPr>
        <w:t>3、 核心功能说明</w:t>
        <w:tab/>
        <w:t>8</w:t>
      </w:r>
    </w:p>
    <w:p>
      <w:pPr>
        <w:tabs>
          <w:tab w:pos="9298" w:val="right" w:leader="dot"/>
        </w:tabs>
        <w:spacing w:line="240" w:lineRule="auto" w:after="0"/>
      </w:pPr>
      <w:r/>
      <w:r>
        <w:rPr>
          <w:rFonts w:ascii="宋体" w:hAnsi="宋体" w:eastAsia="宋体"/>
          <w:b w:val="0"/>
          <w:color w:val="000000"/>
          <w:sz w:val="19"/>
        </w:rPr>
        <w:t>3.1 QCH-KEM混合握手</w:t>
        <w:tab/>
        <w:t>8</w:t>
      </w:r>
    </w:p>
    <w:p>
      <w:pPr>
        <w:tabs>
          <w:tab w:pos="9298" w:val="right" w:leader="dot"/>
        </w:tabs>
        <w:spacing w:line="240" w:lineRule="auto" w:after="0"/>
      </w:pPr>
      <w:r/>
      <w:r>
        <w:rPr>
          <w:rFonts w:ascii="宋体" w:hAnsi="宋体" w:eastAsia="宋体"/>
          <w:b w:val="0"/>
          <w:color w:val="000000"/>
          <w:sz w:val="19"/>
        </w:rPr>
        <w:t>3.2 DLHP动态跳频保护</w:t>
        <w:tab/>
        <w:t>9</w:t>
      </w:r>
    </w:p>
    <w:p>
      <w:pPr>
        <w:tabs>
          <w:tab w:pos="9298" w:val="right" w:leader="dot"/>
        </w:tabs>
        <w:spacing w:line="240" w:lineRule="auto" w:after="0"/>
      </w:pPr>
      <w:r/>
      <w:r>
        <w:rPr>
          <w:rFonts w:ascii="宋体" w:hAnsi="宋体" w:eastAsia="宋体"/>
          <w:b w:val="0"/>
          <w:color w:val="000000"/>
          <w:sz w:val="19"/>
        </w:rPr>
        <w:t>3.3 算法目录与策略推荐</w:t>
        <w:tab/>
        <w:t>9</w:t>
      </w:r>
    </w:p>
    <w:p>
      <w:pPr>
        <w:tabs>
          <w:tab w:pos="9298" w:val="right" w:leader="dot"/>
        </w:tabs>
        <w:spacing w:line="240" w:lineRule="auto" w:after="0"/>
      </w:pPr>
      <w:r/>
      <w:r>
        <w:rPr>
          <w:rFonts w:ascii="宋体" w:hAnsi="宋体" w:eastAsia="宋体"/>
          <w:b w:val="0"/>
          <w:color w:val="000000"/>
          <w:sz w:val="19"/>
        </w:rPr>
        <w:t>4、 操作使用说明</w:t>
        <w:tab/>
        <w:t>9</w:t>
      </w:r>
    </w:p>
    <w:p>
      <w:pPr>
        <w:tabs>
          <w:tab w:pos="9298" w:val="right" w:leader="dot"/>
        </w:tabs>
        <w:spacing w:line="240" w:lineRule="auto" w:after="0"/>
      </w:pPr>
      <w:r/>
      <w:r>
        <w:rPr>
          <w:rFonts w:ascii="宋体" w:hAnsi="宋体" w:eastAsia="宋体"/>
          <w:b w:val="0"/>
          <w:color w:val="000000"/>
          <w:sz w:val="19"/>
        </w:rPr>
        <w:t>4.1 命令行使用</w:t>
        <w:tab/>
        <w:t>9</w:t>
      </w:r>
    </w:p>
    <w:p>
      <w:pPr>
        <w:tabs>
          <w:tab w:pos="9298" w:val="right" w:leader="dot"/>
        </w:tabs>
        <w:spacing w:line="240" w:lineRule="auto" w:after="0"/>
      </w:pPr>
      <w:r/>
      <w:r>
        <w:rPr>
          <w:rFonts w:ascii="宋体" w:hAnsi="宋体" w:eastAsia="宋体"/>
          <w:b w:val="0"/>
          <w:color w:val="000000"/>
          <w:sz w:val="19"/>
        </w:rPr>
        <w:t>4.2 图形界面使用</w:t>
        <w:tab/>
        <w:t>10</w:t>
      </w:r>
    </w:p>
    <w:p>
      <w:pPr>
        <w:tabs>
          <w:tab w:pos="9298" w:val="right" w:leader="dot"/>
        </w:tabs>
        <w:spacing w:line="240" w:lineRule="auto" w:after="0"/>
      </w:pPr>
      <w:r/>
      <w:r>
        <w:rPr>
          <w:rFonts w:ascii="宋体" w:hAnsi="宋体" w:eastAsia="宋体"/>
          <w:b w:val="0"/>
          <w:color w:val="000000"/>
          <w:sz w:val="19"/>
        </w:rPr>
        <w:t>5、 接口与数据说明</w:t>
        <w:tab/>
        <w:t>10</w:t>
      </w:r>
    </w:p>
    <w:p>
      <w:pPr>
        <w:tabs>
          <w:tab w:pos="9298" w:val="right" w:leader="dot"/>
        </w:tabs>
        <w:spacing w:line="240" w:lineRule="auto" w:after="0"/>
      </w:pPr>
      <w:r/>
      <w:r>
        <w:rPr>
          <w:rFonts w:ascii="宋体" w:hAnsi="宋体" w:eastAsia="宋体"/>
          <w:b w:val="0"/>
          <w:color w:val="000000"/>
          <w:sz w:val="19"/>
        </w:rPr>
        <w:t>5.1 输入参数</w:t>
        <w:tab/>
        <w:t>10</w:t>
      </w:r>
    </w:p>
    <w:p>
      <w:pPr>
        <w:tabs>
          <w:tab w:pos="9298" w:val="right" w:leader="dot"/>
        </w:tabs>
        <w:spacing w:line="240" w:lineRule="auto" w:after="0"/>
      </w:pPr>
      <w:r/>
      <w:r>
        <w:rPr>
          <w:rFonts w:ascii="宋体" w:hAnsi="宋体" w:eastAsia="宋体"/>
          <w:b w:val="0"/>
          <w:color w:val="000000"/>
          <w:sz w:val="19"/>
        </w:rPr>
        <w:t>5.2 输出数据</w:t>
        <w:tab/>
        <w:t>11</w:t>
      </w:r>
    </w:p>
    <w:p>
      <w:pPr>
        <w:tabs>
          <w:tab w:pos="9298" w:val="right" w:leader="dot"/>
        </w:tabs>
        <w:spacing w:line="240" w:lineRule="auto" w:after="0"/>
      </w:pPr>
      <w:r/>
      <w:r>
        <w:rPr>
          <w:rFonts w:ascii="宋体" w:hAnsi="宋体" w:eastAsia="宋体"/>
          <w:b w:val="0"/>
          <w:color w:val="000000"/>
          <w:sz w:val="19"/>
        </w:rPr>
        <w:t>5.3 API端点</w:t>
        <w:tab/>
        <w:t>12</w:t>
      </w:r>
    </w:p>
    <w:p>
      <w:pPr>
        <w:tabs>
          <w:tab w:pos="9298" w:val="right" w:leader="dot"/>
        </w:tabs>
        <w:spacing w:line="240" w:lineRule="auto" w:after="0"/>
      </w:pPr>
      <w:r/>
      <w:r>
        <w:rPr>
          <w:rFonts w:ascii="宋体" w:hAnsi="宋体" w:eastAsia="宋体"/>
          <w:b w:val="0"/>
          <w:color w:val="000000"/>
          <w:sz w:val="19"/>
        </w:rPr>
        <w:t>5.4 数据校验</w:t>
        <w:tab/>
        <w:t>12</w:t>
      </w:r>
    </w:p>
    <w:p>
      <w:pPr>
        <w:tabs>
          <w:tab w:pos="9298" w:val="right" w:leader="dot"/>
        </w:tabs>
        <w:spacing w:line="240" w:lineRule="auto" w:after="0"/>
      </w:pPr>
      <w:r/>
      <w:r>
        <w:rPr>
          <w:rFonts w:ascii="宋体" w:hAnsi="宋体" w:eastAsia="宋体"/>
          <w:b w:val="0"/>
          <w:color w:val="000000"/>
          <w:sz w:val="19"/>
        </w:rPr>
        <w:t>6、 算法策略设计</w:t>
        <w:tab/>
        <w:t>13</w:t>
      </w:r>
    </w:p>
    <w:p>
      <w:pPr>
        <w:tabs>
          <w:tab w:pos="9298" w:val="right" w:leader="dot"/>
        </w:tabs>
        <w:spacing w:line="240" w:lineRule="auto" w:after="0"/>
      </w:pPr>
      <w:r/>
      <w:r>
        <w:rPr>
          <w:rFonts w:ascii="宋体" w:hAnsi="宋体" w:eastAsia="宋体"/>
          <w:b w:val="0"/>
          <w:color w:val="000000"/>
          <w:sz w:val="19"/>
        </w:rPr>
        <w:t>6.1 部署画像</w:t>
        <w:tab/>
        <w:t>13</w:t>
      </w:r>
    </w:p>
    <w:p>
      <w:pPr>
        <w:tabs>
          <w:tab w:pos="9298" w:val="right" w:leader="dot"/>
        </w:tabs>
        <w:spacing w:line="240" w:lineRule="auto" w:after="0"/>
      </w:pPr>
      <w:r/>
      <w:r>
        <w:rPr>
          <w:rFonts w:ascii="宋体" w:hAnsi="宋体" w:eastAsia="宋体"/>
          <w:b w:val="0"/>
          <w:color w:val="000000"/>
          <w:sz w:val="19"/>
        </w:rPr>
        <w:t>6.2 推荐规则</w:t>
        <w:tab/>
        <w:t>13</w:t>
      </w:r>
    </w:p>
    <w:p>
      <w:pPr>
        <w:tabs>
          <w:tab w:pos="9298" w:val="right" w:leader="dot"/>
        </w:tabs>
        <w:spacing w:line="240" w:lineRule="auto" w:after="0"/>
      </w:pPr>
      <w:r/>
      <w:r>
        <w:rPr>
          <w:rFonts w:ascii="宋体" w:hAnsi="宋体" w:eastAsia="宋体"/>
          <w:b w:val="0"/>
          <w:color w:val="000000"/>
          <w:sz w:val="19"/>
        </w:rPr>
        <w:t>6.3 矩阵评分</w:t>
        <w:tab/>
        <w:t>13</w:t>
      </w:r>
    </w:p>
    <w:p>
      <w:pPr>
        <w:tabs>
          <w:tab w:pos="9298" w:val="right" w:leader="dot"/>
        </w:tabs>
        <w:spacing w:line="240" w:lineRule="auto" w:after="0"/>
      </w:pPr>
      <w:r/>
      <w:r>
        <w:rPr>
          <w:rFonts w:ascii="宋体" w:hAnsi="宋体" w:eastAsia="宋体"/>
          <w:b w:val="0"/>
          <w:color w:val="000000"/>
          <w:sz w:val="19"/>
        </w:rPr>
        <w:t>7、 测试与验收说明</w:t>
        <w:tab/>
        <w:t>14</w:t>
      </w:r>
    </w:p>
    <w:p>
      <w:pPr>
        <w:tabs>
          <w:tab w:pos="9298" w:val="right" w:leader="dot"/>
        </w:tabs>
        <w:spacing w:line="240" w:lineRule="auto" w:after="0"/>
      </w:pPr>
      <w:r/>
      <w:r>
        <w:rPr>
          <w:rFonts w:ascii="宋体" w:hAnsi="宋体" w:eastAsia="宋体"/>
          <w:b w:val="0"/>
          <w:color w:val="000000"/>
          <w:sz w:val="19"/>
        </w:rPr>
        <w:t>7.1 单元测试</w:t>
        <w:tab/>
        <w:t>14</w:t>
      </w:r>
    </w:p>
    <w:p>
      <w:pPr>
        <w:tabs>
          <w:tab w:pos="9298" w:val="right" w:leader="dot"/>
        </w:tabs>
        <w:spacing w:line="240" w:lineRule="auto" w:after="0"/>
      </w:pPr>
      <w:r/>
      <w:r>
        <w:rPr>
          <w:rFonts w:ascii="宋体" w:hAnsi="宋体" w:eastAsia="宋体"/>
          <w:b w:val="0"/>
          <w:color w:val="000000"/>
          <w:sz w:val="19"/>
        </w:rPr>
        <w:t>7.2 接口测试</w:t>
        <w:tab/>
        <w:t>14</w:t>
      </w:r>
    </w:p>
    <w:p>
      <w:pPr>
        <w:tabs>
          <w:tab w:pos="9298" w:val="right" w:leader="dot"/>
        </w:tabs>
        <w:spacing w:line="240" w:lineRule="auto" w:after="0"/>
      </w:pPr>
      <w:r/>
      <w:r>
        <w:rPr>
          <w:rFonts w:ascii="宋体" w:hAnsi="宋体" w:eastAsia="宋体"/>
          <w:b w:val="0"/>
          <w:color w:val="000000"/>
          <w:sz w:val="19"/>
        </w:rPr>
        <w:t>7.3 GUI测试</w:t>
        <w:tab/>
        <w:t>15</w:t>
      </w:r>
    </w:p>
    <w:p>
      <w:pPr>
        <w:tabs>
          <w:tab w:pos="9298" w:val="right" w:leader="dot"/>
        </w:tabs>
        <w:spacing w:line="240" w:lineRule="auto" w:after="0"/>
      </w:pPr>
      <w:r/>
      <w:r>
        <w:rPr>
          <w:rFonts w:ascii="宋体" w:hAnsi="宋体" w:eastAsia="宋体"/>
          <w:b w:val="0"/>
          <w:color w:val="000000"/>
          <w:sz w:val="19"/>
        </w:rPr>
        <w:t>8、 安全边界与生产替换</w:t>
        <w:tab/>
        <w:t>15</w:t>
      </w:r>
    </w:p>
    <w:p>
      <w:pPr>
        <w:tabs>
          <w:tab w:pos="9298" w:val="right" w:leader="dot"/>
        </w:tabs>
        <w:spacing w:line="240" w:lineRule="auto" w:after="0"/>
      </w:pPr>
      <w:r/>
      <w:r>
        <w:rPr>
          <w:rFonts w:ascii="宋体" w:hAnsi="宋体" w:eastAsia="宋体"/>
          <w:b w:val="0"/>
          <w:color w:val="000000"/>
          <w:sz w:val="19"/>
        </w:rPr>
        <w:t>8.1 演示边界</w:t>
        <w:tab/>
        <w:t>15</w:t>
      </w:r>
    </w:p>
    <w:p>
      <w:pPr>
        <w:tabs>
          <w:tab w:pos="9298" w:val="right" w:leader="dot"/>
        </w:tabs>
        <w:spacing w:line="240" w:lineRule="auto" w:after="0"/>
      </w:pPr>
      <w:r/>
      <w:r>
        <w:rPr>
          <w:rFonts w:ascii="宋体" w:hAnsi="宋体" w:eastAsia="宋体"/>
          <w:b w:val="0"/>
          <w:color w:val="000000"/>
          <w:sz w:val="19"/>
        </w:rPr>
        <w:t>8.2 生产替换</w:t>
        <w:tab/>
        <w:t>16</w:t>
      </w:r>
    </w:p>
    <w:p>
      <w:pPr>
        <w:tabs>
          <w:tab w:pos="9298" w:val="right" w:leader="dot"/>
        </w:tabs>
        <w:spacing w:line="240" w:lineRule="auto" w:after="0"/>
      </w:pPr>
      <w:r/>
      <w:r>
        <w:rPr>
          <w:rFonts w:ascii="宋体" w:hAnsi="宋体" w:eastAsia="宋体"/>
          <w:b w:val="0"/>
          <w:color w:val="000000"/>
          <w:sz w:val="19"/>
        </w:rPr>
        <w:t>8.3 审计要求</w:t>
        <w:tab/>
        <w:t>16</w:t>
      </w:r>
    </w:p>
    <w:p>
      <w:pPr>
        <w:tabs>
          <w:tab w:pos="9298" w:val="right" w:leader="dot"/>
        </w:tabs>
        <w:spacing w:line="240" w:lineRule="auto" w:after="0"/>
      </w:pPr>
      <w:r/>
      <w:r>
        <w:rPr>
          <w:rFonts w:ascii="宋体" w:hAnsi="宋体" w:eastAsia="宋体"/>
          <w:b w:val="0"/>
          <w:color w:val="000000"/>
          <w:sz w:val="19"/>
        </w:rPr>
        <w:t>9、 维护与扩展说明</w:t>
        <w:tab/>
        <w:t>16</w:t>
      </w:r>
    </w:p>
    <w:p>
      <w:pPr>
        <w:tabs>
          <w:tab w:pos="9298" w:val="right" w:leader="dot"/>
        </w:tabs>
        <w:spacing w:line="240" w:lineRule="auto" w:after="0"/>
      </w:pPr>
      <w:r/>
      <w:r>
        <w:rPr>
          <w:rFonts w:ascii="宋体" w:hAnsi="宋体" w:eastAsia="宋体"/>
          <w:b w:val="0"/>
          <w:color w:val="000000"/>
          <w:sz w:val="19"/>
        </w:rPr>
        <w:t>9.1 新算法扩展</w:t>
        <w:tab/>
        <w:t>16</w:t>
      </w:r>
    </w:p>
    <w:p>
      <w:pPr>
        <w:tabs>
          <w:tab w:pos="9298" w:val="right" w:leader="dot"/>
        </w:tabs>
        <w:spacing w:line="240" w:lineRule="auto" w:after="0"/>
      </w:pPr>
      <w:r/>
      <w:r>
        <w:rPr>
          <w:rFonts w:ascii="宋体" w:hAnsi="宋体" w:eastAsia="宋体"/>
          <w:b w:val="0"/>
          <w:color w:val="000000"/>
          <w:sz w:val="19"/>
        </w:rPr>
        <w:t>9.2 新画像扩展</w:t>
        <w:tab/>
        <w:t>17</w:t>
      </w:r>
    </w:p>
    <w:p>
      <w:pPr>
        <w:tabs>
          <w:tab w:pos="9298" w:val="right" w:leader="dot"/>
        </w:tabs>
        <w:spacing w:line="240" w:lineRule="auto" w:after="0"/>
      </w:pPr>
      <w:r/>
      <w:r>
        <w:rPr>
          <w:rFonts w:ascii="宋体" w:hAnsi="宋体" w:eastAsia="宋体"/>
          <w:b w:val="0"/>
          <w:color w:val="000000"/>
          <w:sz w:val="19"/>
        </w:rPr>
        <w:t>9.3 文档同步</w:t>
        <w:tab/>
        <w:t>17</w:t>
      </w:r>
    </w:p>
    <w:p>
      <w:pPr>
        <w:tabs>
          <w:tab w:pos="9298" w:val="right" w:leader="dot"/>
        </w:tabs>
        <w:spacing w:line="240" w:lineRule="auto" w:after="0"/>
      </w:pPr>
      <w:r/>
      <w:r>
        <w:rPr>
          <w:rFonts w:ascii="宋体" w:hAnsi="宋体" w:eastAsia="宋体"/>
          <w:b w:val="0"/>
          <w:color w:val="000000"/>
          <w:sz w:val="19"/>
        </w:rPr>
        <w:t>10、 典型场景与故障处理</w:t>
        <w:tab/>
        <w:t>18</w:t>
      </w:r>
    </w:p>
    <w:p>
      <w:pPr>
        <w:tabs>
          <w:tab w:pos="9298" w:val="right" w:leader="dot"/>
        </w:tabs>
        <w:spacing w:line="240" w:lineRule="auto" w:after="0"/>
      </w:pPr>
      <w:r/>
      <w:r>
        <w:rPr>
          <w:rFonts w:ascii="宋体" w:hAnsi="宋体" w:eastAsia="宋体"/>
          <w:b w:val="0"/>
          <w:color w:val="000000"/>
          <w:sz w:val="19"/>
        </w:rPr>
        <w:t>10.1 QCH评估场景</w:t>
        <w:tab/>
        <w:t>18</w:t>
      </w:r>
    </w:p>
    <w:p>
      <w:pPr>
        <w:tabs>
          <w:tab w:pos="9298" w:val="right" w:leader="dot"/>
        </w:tabs>
        <w:spacing w:line="240" w:lineRule="auto" w:after="0"/>
      </w:pPr>
      <w:r/>
      <w:r>
        <w:rPr>
          <w:rFonts w:ascii="宋体" w:hAnsi="宋体" w:eastAsia="宋体"/>
          <w:b w:val="0"/>
          <w:color w:val="000000"/>
          <w:sz w:val="19"/>
        </w:rPr>
        <w:t>10.2 DLHP保护场景</w:t>
        <w:tab/>
        <w:t>18</w:t>
      </w:r>
    </w:p>
    <w:p>
      <w:pPr>
        <w:tabs>
          <w:tab w:pos="9298" w:val="right" w:leader="dot"/>
        </w:tabs>
        <w:spacing w:line="240" w:lineRule="auto" w:after="0"/>
      </w:pPr>
      <w:r/>
      <w:r>
        <w:rPr>
          <w:rFonts w:ascii="宋体" w:hAnsi="宋体" w:eastAsia="宋体"/>
          <w:b w:val="0"/>
          <w:color w:val="000000"/>
          <w:sz w:val="19"/>
        </w:rPr>
        <w:t>10.3 常见故障处理</w:t>
        <w:tab/>
        <w:t>18</w:t>
      </w:r>
    </w:p>
    <w:p>
      <w:pPr>
        <w:tabs>
          <w:tab w:pos="9298" w:val="right" w:leader="dot"/>
        </w:tabs>
        <w:spacing w:line="240" w:lineRule="auto" w:after="0"/>
      </w:pPr>
      <w:r/>
      <w:r>
        <w:rPr>
          <w:rFonts w:ascii="宋体" w:hAnsi="宋体" w:eastAsia="宋体"/>
          <w:b w:val="0"/>
          <w:color w:val="000000"/>
          <w:sz w:val="19"/>
        </w:rPr>
        <w:t>11、 字段字典与提交检查</w:t>
        <w:tab/>
        <w:t>19</w:t>
      </w:r>
    </w:p>
    <w:p>
      <w:pPr>
        <w:tabs>
          <w:tab w:pos="9298" w:val="right" w:leader="dot"/>
        </w:tabs>
        <w:spacing w:line="240" w:lineRule="auto" w:after="0"/>
      </w:pPr>
      <w:r/>
      <w:r>
        <w:rPr>
          <w:rFonts w:ascii="宋体" w:hAnsi="宋体" w:eastAsia="宋体"/>
          <w:b w:val="0"/>
          <w:color w:val="000000"/>
          <w:sz w:val="19"/>
        </w:rPr>
        <w:t>11.1 QCH字段字典</w:t>
        <w:tab/>
        <w:t>19</w:t>
      </w:r>
    </w:p>
    <w:p>
      <w:pPr>
        <w:tabs>
          <w:tab w:pos="9298" w:val="right" w:leader="dot"/>
        </w:tabs>
        <w:spacing w:line="240" w:lineRule="auto" w:after="0"/>
      </w:pPr>
      <w:r/>
      <w:r>
        <w:rPr>
          <w:rFonts w:ascii="宋体" w:hAnsi="宋体" w:eastAsia="宋体"/>
          <w:b w:val="0"/>
          <w:color w:val="000000"/>
          <w:sz w:val="19"/>
        </w:rPr>
        <w:t>11.2 DLHP字段字典</w:t>
        <w:tab/>
        <w:t>19</w:t>
      </w:r>
    </w:p>
    <w:p>
      <w:pPr>
        <w:tabs>
          <w:tab w:pos="9298" w:val="right" w:leader="dot"/>
        </w:tabs>
        <w:spacing w:line="240" w:lineRule="auto" w:after="0"/>
      </w:pPr>
      <w:r/>
      <w:r>
        <w:rPr>
          <w:rFonts w:ascii="宋体" w:hAnsi="宋体" w:eastAsia="宋体"/>
          <w:b w:val="0"/>
          <w:color w:val="000000"/>
          <w:sz w:val="19"/>
        </w:rPr>
        <w:t>11.3 提交前检查清单</w:t>
        <w:tab/>
        <w:t>20</w:t>
      </w:r>
    </w:p>
    <w:p>
      <w:pPr>
        <w:tabs>
          <w:tab w:pos="9298" w:val="right" w:leader="dot"/>
        </w:tabs>
        <w:spacing w:line="240" w:lineRule="auto" w:after="0"/>
      </w:pPr>
      <w:r/>
      <w:r>
        <w:rPr>
          <w:rFonts w:ascii="宋体" w:hAnsi="宋体" w:eastAsia="宋体"/>
          <w:b w:val="0"/>
          <w:color w:val="000000"/>
          <w:sz w:val="19"/>
        </w:rPr>
        <w:t>12、 运行案例记录</w:t>
        <w:tab/>
        <w:t>22</w:t>
      </w:r>
    </w:p>
    <w:p>
      <w:pPr>
        <w:tabs>
          <w:tab w:pos="9298" w:val="right" w:leader="dot"/>
        </w:tabs>
        <w:spacing w:line="240" w:lineRule="auto" w:after="0"/>
      </w:pPr>
      <w:r/>
      <w:r>
        <w:rPr>
          <w:rFonts w:ascii="宋体" w:hAnsi="宋体" w:eastAsia="宋体"/>
          <w:b w:val="0"/>
          <w:color w:val="000000"/>
          <w:sz w:val="19"/>
        </w:rPr>
        <w:t>12.1 QCH运行记录</w:t>
        <w:tab/>
        <w:t>22</w:t>
      </w:r>
    </w:p>
    <w:p>
      <w:pPr>
        <w:tabs>
          <w:tab w:pos="9298" w:val="right" w:leader="dot"/>
        </w:tabs>
        <w:spacing w:line="240" w:lineRule="auto" w:after="0"/>
      </w:pPr>
      <w:r/>
      <w:r>
        <w:rPr>
          <w:rFonts w:ascii="宋体" w:hAnsi="宋体" w:eastAsia="宋体"/>
          <w:b w:val="0"/>
          <w:color w:val="000000"/>
          <w:sz w:val="19"/>
        </w:rPr>
        <w:t>12.2 DLHP运行记录</w:t>
        <w:tab/>
        <w:t>22</w:t>
      </w:r>
    </w:p>
    <w:p>
      <w:pPr>
        <w:tabs>
          <w:tab w:pos="9298" w:val="right" w:leader="dot"/>
        </w:tabs>
        <w:spacing w:line="240" w:lineRule="auto" w:after="0"/>
      </w:pPr>
      <w:r/>
      <w:r>
        <w:rPr>
          <w:rFonts w:ascii="宋体" w:hAnsi="宋体" w:eastAsia="宋体"/>
          <w:b w:val="0"/>
          <w:color w:val="000000"/>
          <w:sz w:val="19"/>
        </w:rPr>
        <w:t>12.3 报告矩阵记录</w:t>
        <w:tab/>
        <w:t>23</w:t>
      </w:r>
    </w:p>
    <w:p>
      <w:pPr>
        <w:tabs>
          <w:tab w:pos="9298" w:val="right" w:leader="dot"/>
        </w:tabs>
        <w:spacing w:line="240" w:lineRule="auto" w:after="0"/>
      </w:pPr>
      <w:r/>
      <w:r>
        <w:rPr>
          <w:rFonts w:ascii="宋体" w:hAnsi="宋体" w:eastAsia="宋体"/>
          <w:b w:val="0"/>
          <w:color w:val="000000"/>
          <w:sz w:val="19"/>
        </w:rPr>
        <w:t>13、 配置与版本管理</w:t>
        <w:tab/>
        <w:t>24</w:t>
      </w:r>
    </w:p>
    <w:p>
      <w:pPr>
        <w:tabs>
          <w:tab w:pos="9298" w:val="right" w:leader="dot"/>
        </w:tabs>
        <w:spacing w:line="240" w:lineRule="auto" w:after="0"/>
      </w:pPr>
      <w:r/>
      <w:r>
        <w:rPr>
          <w:rFonts w:ascii="宋体" w:hAnsi="宋体" w:eastAsia="宋体"/>
          <w:b w:val="0"/>
          <w:color w:val="000000"/>
          <w:sz w:val="19"/>
        </w:rPr>
        <w:t>13.1 配置项说明</w:t>
        <w:tab/>
        <w:t>24</w:t>
      </w:r>
    </w:p>
    <w:p>
      <w:pPr>
        <w:tabs>
          <w:tab w:pos="9298" w:val="right" w:leader="dot"/>
        </w:tabs>
        <w:spacing w:line="240" w:lineRule="auto" w:after="0"/>
      </w:pPr>
      <w:r/>
      <w:r>
        <w:rPr>
          <w:rFonts w:ascii="宋体" w:hAnsi="宋体" w:eastAsia="宋体"/>
          <w:b w:val="0"/>
          <w:color w:val="000000"/>
          <w:sz w:val="19"/>
        </w:rPr>
        <w:t>13.2 构建生成流程</w:t>
        <w:tab/>
        <w:t>24</w:t>
      </w:r>
    </w:p>
    <w:p>
      <w:pPr>
        <w:tabs>
          <w:tab w:pos="9298" w:val="right" w:leader="dot"/>
        </w:tabs>
        <w:spacing w:line="240" w:lineRule="auto" w:after="0"/>
      </w:pPr>
      <w:r/>
      <w:r>
        <w:rPr>
          <w:rFonts w:ascii="宋体" w:hAnsi="宋体" w:eastAsia="宋体"/>
          <w:b w:val="0"/>
          <w:color w:val="000000"/>
          <w:sz w:val="19"/>
        </w:rPr>
        <w:t>13.3 版本变更记录</w:t>
        <w:tab/>
        <w:t>25</w:t>
      </w:r>
    </w:p>
    <w:p>
      <w:pPr>
        <w:tabs>
          <w:tab w:pos="9298" w:val="right" w:leader="dot"/>
        </w:tabs>
        <w:spacing w:line="240" w:lineRule="auto" w:after="0"/>
      </w:pPr>
      <w:r/>
      <w:r>
        <w:rPr>
          <w:rFonts w:ascii="宋体" w:hAnsi="宋体" w:eastAsia="宋体"/>
          <w:b w:val="0"/>
          <w:color w:val="000000"/>
          <w:sz w:val="19"/>
        </w:rPr>
        <w:t>14、 验收与交付说明</w:t>
        <w:tab/>
        <w:t>26</w:t>
      </w:r>
    </w:p>
    <w:p>
      <w:pPr>
        <w:tabs>
          <w:tab w:pos="9298" w:val="right" w:leader="dot"/>
        </w:tabs>
        <w:spacing w:line="240" w:lineRule="auto" w:after="0"/>
      </w:pPr>
      <w:r/>
      <w:r>
        <w:rPr>
          <w:rFonts w:ascii="宋体" w:hAnsi="宋体" w:eastAsia="宋体"/>
          <w:b w:val="0"/>
          <w:color w:val="000000"/>
          <w:sz w:val="19"/>
        </w:rPr>
        <w:t>14.1 验收环境</w:t>
        <w:tab/>
        <w:t>26</w:t>
      </w:r>
    </w:p>
    <w:p>
      <w:pPr>
        <w:tabs>
          <w:tab w:pos="9298" w:val="right" w:leader="dot"/>
        </w:tabs>
        <w:spacing w:line="240" w:lineRule="auto" w:after="0"/>
      </w:pPr>
      <w:r/>
      <w:r>
        <w:rPr>
          <w:rFonts w:ascii="宋体" w:hAnsi="宋体" w:eastAsia="宋体"/>
          <w:b w:val="0"/>
          <w:color w:val="000000"/>
          <w:sz w:val="19"/>
        </w:rPr>
        <w:t>14.2 验收记录</w:t>
        <w:tab/>
        <w:t>26</w:t>
      </w:r>
    </w:p>
    <w:p>
      <w:pPr>
        <w:tabs>
          <w:tab w:pos="9298" w:val="right" w:leader="dot"/>
        </w:tabs>
        <w:spacing w:line="240" w:lineRule="auto" w:after="0"/>
      </w:pPr>
      <w:r/>
      <w:r>
        <w:rPr>
          <w:rFonts w:ascii="宋体" w:hAnsi="宋体" w:eastAsia="宋体"/>
          <w:b w:val="0"/>
          <w:color w:val="000000"/>
          <w:sz w:val="19"/>
        </w:rPr>
        <w:t>14.3 交付材料</w:t>
        <w:tab/>
        <w:t>27</w:t>
      </w:r>
    </w:p>
    <w:p>
      <w:pPr>
        <w:tabs>
          <w:tab w:pos="9298" w:val="right" w:leader="dot"/>
        </w:tabs>
        <w:spacing w:line="240" w:lineRule="auto" w:after="0"/>
      </w:pPr>
      <w:r/>
      <w:r>
        <w:rPr>
          <w:rFonts w:ascii="宋体" w:hAnsi="宋体" w:eastAsia="宋体"/>
          <w:b w:val="0"/>
          <w:color w:val="000000"/>
          <w:sz w:val="19"/>
        </w:rPr>
        <w:t>15、 最终复核结论</w:t>
        <w:tab/>
        <w:t>28</w:t>
      </w:r>
    </w:p>
    <w:p>
      <w:pPr>
        <w:tabs>
          <w:tab w:pos="9298" w:val="right" w:leader="dot"/>
        </w:tabs>
        <w:spacing w:line="240" w:lineRule="auto" w:after="0"/>
      </w:pPr>
      <w:r/>
      <w:r>
        <w:rPr>
          <w:rFonts w:ascii="宋体" w:hAnsi="宋体" w:eastAsia="宋体"/>
          <w:b w:val="0"/>
          <w:color w:val="000000"/>
          <w:sz w:val="19"/>
        </w:rPr>
        <w:t>15.1 材料一致性结论</w:t>
        <w:tab/>
        <w:t>28</w:t>
      </w:r>
    </w:p>
    <w:p>
      <w:pPr>
        <w:tabs>
          <w:tab w:pos="9298" w:val="right" w:leader="dot"/>
        </w:tabs>
        <w:spacing w:line="240" w:lineRule="auto" w:after="0"/>
      </w:pPr>
      <w:r/>
      <w:r>
        <w:rPr>
          <w:rFonts w:ascii="宋体" w:hAnsi="宋体" w:eastAsia="宋体"/>
          <w:b w:val="0"/>
          <w:color w:val="000000"/>
          <w:sz w:val="19"/>
        </w:rPr>
        <w:t>15.2 格式合规结论</w:t>
        <w:tab/>
        <w:t>28</w:t>
      </w:r>
    </w:p>
    <w:p>
      <w:pPr>
        <w:tabs>
          <w:tab w:pos="9298" w:val="right" w:leader="dot"/>
        </w:tabs>
        <w:spacing w:line="240" w:lineRule="auto" w:after="0"/>
      </w:pPr>
      <w:r/>
      <w:r>
        <w:rPr>
          <w:rFonts w:ascii="宋体" w:hAnsi="宋体" w:eastAsia="宋体"/>
          <w:b w:val="0"/>
          <w:color w:val="000000"/>
          <w:sz w:val="19"/>
        </w:rPr>
        <w:t>15.3 后续提交提示</w:t>
        <w:tab/>
        <w:t>28</w:t>
      </w:r>
    </w:p>
    <w:p>
      <w:pPr>
        <w:tabs>
          <w:tab w:pos="9298" w:val="right" w:leader="dot"/>
        </w:tabs>
        <w:spacing w:line="240" w:lineRule="auto" w:after="0"/>
      </w:pPr>
      <w:r/>
      <w:r>
        <w:rPr>
          <w:rFonts w:ascii="宋体" w:hAnsi="宋体" w:eastAsia="宋体"/>
          <w:b w:val="0"/>
          <w:color w:val="000000"/>
          <w:sz w:val="19"/>
        </w:rPr>
        <w:t>16、 软件界面截图</w:t>
        <w:tab/>
        <w:t>29</w:t>
      </w:r>
    </w:p>
    <w:p>
      <w:pPr>
        <w:tabs>
          <w:tab w:pos="9298" w:val="right" w:leader="dot"/>
        </w:tabs>
        <w:spacing w:line="240" w:lineRule="auto" w:after="0"/>
      </w:pPr>
      <w:r/>
      <w:r>
        <w:rPr>
          <w:rFonts w:ascii="宋体" w:hAnsi="宋体" w:eastAsia="宋体"/>
          <w:b w:val="0"/>
          <w:color w:val="000000"/>
          <w:sz w:val="19"/>
        </w:rPr>
        <w:t>16.1 Overview界面截图</w:t>
        <w:tab/>
        <w:t>29</w:t>
      </w:r>
    </w:p>
    <w:p>
      <w:pPr>
        <w:tabs>
          <w:tab w:pos="9298" w:val="right" w:leader="dot"/>
        </w:tabs>
        <w:spacing w:line="240" w:lineRule="auto" w:after="0"/>
      </w:pPr>
      <w:r/>
      <w:r>
        <w:rPr>
          <w:rFonts w:ascii="宋体" w:hAnsi="宋体" w:eastAsia="宋体"/>
          <w:b w:val="0"/>
          <w:color w:val="000000"/>
          <w:sz w:val="19"/>
        </w:rPr>
        <w:t>16.2 QCH界面截图</w:t>
        <w:tab/>
        <w:t>30</w:t>
      </w:r>
    </w:p>
    <w:p>
      <w:pPr>
        <w:tabs>
          <w:tab w:pos="9298" w:val="right" w:leader="dot"/>
        </w:tabs>
        <w:spacing w:line="240" w:lineRule="auto" w:after="0"/>
      </w:pPr>
      <w:r/>
      <w:r>
        <w:rPr>
          <w:rFonts w:ascii="宋体" w:hAnsi="宋体" w:eastAsia="宋体"/>
          <w:b w:val="0"/>
          <w:color w:val="000000"/>
          <w:sz w:val="19"/>
        </w:rPr>
        <w:t>16.3 截图复核说明</w:t>
        <w:tab/>
        <w:t>30</w:t>
      </w:r>
    </w:p>
    <w:p>
      <w:r>
        <w:br w:type="page"/>
      </w:r>
    </w:p>
    <w:p>
      <w:pPr>
        <w:pStyle w:val="Heading1"/>
        <w:spacing w:before="240" w:after="160"/>
      </w:pPr>
      <w:r/>
      <w:r>
        <w:rPr>
          <w:rFonts w:ascii="宋体" w:hAnsi="宋体" w:eastAsia="宋体"/>
          <w:b/>
          <w:color w:val="000000"/>
          <w:sz w:val="32"/>
        </w:rPr>
        <w:t>1、 总体业务说明</w:t>
      </w:r>
    </w:p>
    <w:p>
      <w:pPr>
        <w:pStyle w:val="Heading2"/>
        <w:spacing w:before="160" w:after="120"/>
      </w:pPr>
      <w:r/>
      <w:r>
        <w:rPr>
          <w:rFonts w:ascii="宋体" w:hAnsi="宋体" w:eastAsia="宋体"/>
          <w:b/>
          <w:color w:val="000000"/>
          <w:sz w:val="26"/>
        </w:rPr>
        <w:t>1.1 编写目的</w:t>
      </w:r>
    </w:p>
    <w:p>
      <w:pPr>
        <w:pStyle w:val="BodyText"/>
        <w:spacing w:line="360" w:lineRule="auto" w:after="120"/>
        <w:ind w:firstLine="420"/>
      </w:pPr>
      <w:r/>
      <w:r>
        <w:rPr>
          <w:rFonts w:ascii="宋体" w:hAnsi="宋体" w:eastAsia="宋体"/>
          <w:b w:val="0"/>
          <w:color w:val="000000"/>
          <w:sz w:val="21"/>
        </w:rPr>
        <w:t>本文档用于说明抗量子算法工具集软件V1.0的总体架构、核心功能、运行流程、接口数据、操作方法和维护边界，帮助研发人员、测试人员和评审人员理解软件的组成与使用方式。本文档的软件名称、版本号、作者和著作权人口径与登记申请表及源程序保持一致。</w:t>
      </w:r>
    </w:p>
    <w:p>
      <w:pPr>
        <w:pStyle w:val="BodyText"/>
        <w:spacing w:line="360" w:lineRule="auto" w:after="120"/>
        <w:ind w:firstLine="420"/>
      </w:pPr>
      <w:r/>
      <w:r>
        <w:rPr>
          <w:rFonts w:ascii="宋体" w:hAnsi="宋体" w:eastAsia="宋体"/>
          <w:b w:val="0"/>
          <w:color w:val="000000"/>
          <w:sz w:val="21"/>
        </w:rPr>
        <w:t>本软件围绕量子-经典混合密钥封装和动态多原语密码跳频两个抗量子协议方向实现可运行工具集，提供命令行、Python SDK和本地Web图形控制台三种使用形态。文档重点描述软件表达形式、模块边界和操作流程，不把演示适配器声明为生产密码认证实现。</w:t>
      </w:r>
    </w:p>
    <w:p>
      <w:pPr>
        <w:pStyle w:val="Heading2"/>
        <w:spacing w:before="160" w:after="120"/>
      </w:pPr>
      <w:r/>
      <w:r>
        <w:rPr>
          <w:rFonts w:ascii="宋体" w:hAnsi="宋体" w:eastAsia="宋体"/>
          <w:b/>
          <w:color w:val="000000"/>
          <w:sz w:val="26"/>
        </w:rPr>
        <w:t>1.2 适用对象</w:t>
      </w:r>
    </w:p>
    <w:p>
      <w:pPr>
        <w:pStyle w:val="BodyText"/>
        <w:spacing w:line="360" w:lineRule="auto" w:after="120"/>
        <w:ind w:firstLine="420"/>
      </w:pPr>
      <w:r/>
      <w:r>
        <w:rPr>
          <w:rFonts w:ascii="宋体" w:hAnsi="宋体" w:eastAsia="宋体"/>
          <w:b w:val="0"/>
          <w:color w:val="000000"/>
          <w:sz w:val="21"/>
        </w:rPr>
        <w:t>本文档适用于网络安全研发人员、密码协议工程师、量子通信测试人员、软件测试人员、项目评审人员以及后续维护人员。研发人员可依据本文理解QCH-KEM和DLHP机制的代码边界；测试人员可依据本文复核CLI、GUI和报告输出；评审人员可依据本文确认软件功能与源程序之间的对应关系。</w:t>
      </w:r>
    </w:p>
    <w:p>
      <w:pPr>
        <w:pStyle w:val="BodyText"/>
        <w:spacing w:line="360" w:lineRule="auto" w:after="120"/>
        <w:ind w:firstLine="420"/>
      </w:pPr>
      <w:r/>
      <w:r>
        <w:rPr>
          <w:rFonts w:ascii="宋体" w:hAnsi="宋体" w:eastAsia="宋体"/>
          <w:b w:val="0"/>
          <w:color w:val="000000"/>
          <w:sz w:val="21"/>
        </w:rPr>
        <w:t>在实际交接中，本文档也作为操作和验收的共同口径使用。协议研发人员重点查看第三章的握手、跳频和策略逻辑；前端或演示人员重点查看第四章的命令行与图形界面入口；维护人员重点查看第五章和第六章，确认输入字段、输出字段、安全边界和测试要求。这样可以避免只看界面效果而忽略底层协议假设，也可以避免只读源代码却不了解用户侧的使用路径。</w:t>
      </w:r>
    </w:p>
    <w:p>
      <w:pPr>
        <w:pStyle w:val="Heading2"/>
        <w:spacing w:before="160" w:after="120"/>
      </w:pPr>
      <w:r/>
      <w:r>
        <w:rPr>
          <w:rFonts w:ascii="宋体" w:hAnsi="宋体" w:eastAsia="宋体"/>
          <w:b/>
          <w:color w:val="000000"/>
          <w:sz w:val="26"/>
        </w:rPr>
        <w:t>1.3 软件定位</w:t>
      </w:r>
    </w:p>
    <w:p>
      <w:pPr>
        <w:pStyle w:val="BodyText"/>
        <w:spacing w:line="360" w:lineRule="auto" w:after="120"/>
        <w:ind w:firstLine="420"/>
      </w:pPr>
      <w:r/>
      <w:r>
        <w:rPr>
          <w:rFonts w:ascii="宋体" w:hAnsi="宋体" w:eastAsia="宋体"/>
          <w:b w:val="0"/>
          <w:color w:val="000000"/>
          <w:sz w:val="21"/>
        </w:rPr>
        <w:t>本软件定位为抗量子协议研发和验证工具集。它通过演示级KEM适配器、QKD密钥缓冲区、DLHP调度器、算法注册表、策略推荐器和报告生成器，支撑协议流程验证、部署画像比较、接口打样、演示汇报和软著材料复核。生产部署时需要替换经审计的密码库、真实QKD设备接口和密钥管理组件。</w:t>
      </w:r>
    </w:p>
    <w:p>
      <w:pPr>
        <w:pStyle w:val="BodyText"/>
        <w:spacing w:line="360" w:lineRule="auto" w:after="120"/>
        <w:ind w:firstLine="420"/>
      </w:pPr>
      <w:r/>
      <w:r>
        <w:rPr>
          <w:rFonts w:ascii="宋体" w:hAnsi="宋体" w:eastAsia="宋体"/>
          <w:b w:val="0"/>
          <w:color w:val="000000"/>
          <w:sz w:val="21"/>
        </w:rPr>
        <w:t>登记材料保护的重点是本工具集的自研软件表达，包括协议编排、状态判断、策略选择、报告组织、命令行入口、GUI交互和测试用例。文档不把公共算法标准本身、第三方密码库实现或真实量子设备能力纳入自研权利主张。这个边界对后续维护也很重要：新增生产密码实现时，应以适配器形式接入，并保留原有参数校验、审计事件和报告字段。</w:t>
      </w:r>
    </w:p>
    <w:p>
      <w:pPr>
        <w:pStyle w:val="Heading1"/>
        <w:spacing w:before="240" w:after="160"/>
      </w:pPr>
      <w:r/>
      <w:r>
        <w:rPr>
          <w:rFonts w:ascii="宋体" w:hAnsi="宋体" w:eastAsia="宋体"/>
          <w:b/>
          <w:color w:val="000000"/>
          <w:sz w:val="32"/>
        </w:rPr>
        <w:t>2、 系统总体设计</w:t>
      </w:r>
    </w:p>
    <w:p>
      <w:pPr>
        <w:pStyle w:val="Heading2"/>
        <w:spacing w:before="160" w:after="120"/>
      </w:pPr>
      <w:r/>
      <w:r>
        <w:rPr>
          <w:rFonts w:ascii="宋体" w:hAnsi="宋体" w:eastAsia="宋体"/>
          <w:b/>
          <w:color w:val="000000"/>
          <w:sz w:val="26"/>
        </w:rPr>
        <w:t>2.1 总体架构</w:t>
      </w:r>
    </w:p>
    <w:p>
      <w:pPr>
        <w:pStyle w:val="BodyText"/>
        <w:spacing w:line="360" w:lineRule="auto" w:after="120"/>
        <w:ind w:firstLine="420"/>
      </w:pPr>
      <w:r/>
      <w:r>
        <w:rPr>
          <w:rFonts w:ascii="宋体" w:hAnsi="宋体" w:eastAsia="宋体"/>
          <w:b w:val="0"/>
          <w:color w:val="000000"/>
          <w:sz w:val="21"/>
        </w:rPr>
        <w:t>系统采用分层模块化结构。上层入口由CLI和本地Web GUI组成，负责接收用户参数并展示结果；中间层由策略推荐、算法目录和报告模块组成，负责把协议结果组织为可读的JSON和评估报告；底层协议模块由QCH-KEM和DLHP组成，负责混合握手、密钥派生、跳频调度、阈值分片、受保护单元和重放检测。</w:t>
      </w:r>
    </w:p>
    <w:p>
      <w:pPr>
        <w:pStyle w:val="BodyText"/>
        <w:spacing w:line="360" w:lineRule="auto" w:after="120"/>
        <w:ind w:firstLine="420"/>
      </w:pPr>
      <w:r/>
      <w:r>
        <w:rPr>
          <w:rFonts w:ascii="宋体" w:hAnsi="宋体" w:eastAsia="宋体"/>
          <w:b w:val="0"/>
          <w:color w:val="000000"/>
          <w:sz w:val="21"/>
        </w:rPr>
        <w:t>各层之间主要通过明确的数据对象传递结果，而不是共享全局状态。QCH握手结果、DLHP调度结果、算法目录项和策略推荐结果都可以独立序列化，便于CLI直接输出、GUI异步展示和测试用例断言。这样的结构使演示流程可重复，也让后续接入真实KEM库或QKD设备时只需要替换底层适配器，不需要重写用户入口和报告页面。</w:t>
      </w:r>
    </w:p>
    <w:p>
      <w:pPr>
        <w:jc w:val="center"/>
      </w:pPr>
      <w:r>
        <w:drawing>
          <wp:inline xmlns:a="http://schemas.openxmlformats.org/drawingml/2006/main" xmlns:pic="http://schemas.openxmlformats.org/drawingml/2006/picture">
            <wp:extent cx="5472000" cy="32832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472000" cy="3283200"/>
                    </a:xfrm>
                    <a:prstGeom prst="rect"/>
                  </pic:spPr>
                </pic:pic>
              </a:graphicData>
            </a:graphic>
          </wp:inline>
        </w:drawing>
      </w:r>
    </w:p>
    <w:p>
      <w:pPr>
        <w:spacing w:after="160"/>
        <w:jc w:val="center"/>
      </w:pPr>
      <w:r/>
      <w:r>
        <w:rPr>
          <w:rFonts w:ascii="宋体" w:hAnsi="宋体" w:eastAsia="宋体"/>
          <w:b/>
          <w:color w:val="000000"/>
          <w:sz w:val="18"/>
        </w:rPr>
        <w:t>图1 软件总体结构图</w:t>
      </w:r>
    </w:p>
    <w:p>
      <w:pPr>
        <w:pStyle w:val="Heading2"/>
        <w:spacing w:before="160" w:after="120"/>
      </w:pPr>
      <w:r/>
      <w:r>
        <w:rPr>
          <w:rFonts w:ascii="宋体" w:hAnsi="宋体" w:eastAsia="宋体"/>
          <w:b/>
          <w:color w:val="000000"/>
          <w:sz w:val="26"/>
        </w:rPr>
        <w:t>2.2 模块结构</w:t>
      </w:r>
    </w:p>
    <w:p>
      <w:pPr>
        <w:pStyle w:val="BodyText"/>
        <w:spacing w:line="360" w:lineRule="auto" w:after="120"/>
        <w:ind w:firstLine="420"/>
      </w:pPr>
      <w:r/>
      <w:r>
        <w:rPr>
          <w:rFonts w:ascii="宋体" w:hAnsi="宋体" w:eastAsia="宋体"/>
          <w:b w:val="0"/>
          <w:color w:val="000000"/>
          <w:sz w:val="21"/>
        </w:rPr>
        <w:t>核心模块之间保持低耦合。qch_kem.py只处理QKD状态、PQC参数选择、混合密钥派生和握手确认；dlhp.py只处理SeqID调度、硬问题类别正交约束、阈值分片、保护单元和诱饵包；registry.py保存算法元数据；policy.py按照部署画像给出主备算法建议；reports.py组合策略、QCH和DLHP结果形成综合报告；gui.py提供本地页面和API端点。</w:t>
      </w:r>
    </w:p>
    <w:p>
      <w:pPr>
        <w:pStyle w:val="BodyText"/>
        <w:spacing w:line="360" w:lineRule="auto" w:after="120"/>
        <w:ind w:firstLine="420"/>
      </w:pPr>
      <w:r/>
      <w:r>
        <w:rPr>
          <w:rFonts w:ascii="宋体" w:hAnsi="宋体" w:eastAsia="宋体"/>
          <w:b w:val="0"/>
          <w:color w:val="000000"/>
          <w:sz w:val="21"/>
        </w:rPr>
        <w:t>模块划分时保留了清楚的输入输出边界。协议层只返回可序列化的数据对象，不直接处理页面布局；展示层只负责表单、按钮、结果摘要和JSON显示，不重新实现密码流程；策略层和报告层只读取协议结果和算法目录，不修改底层会话状态。这个边界使问题定位更直接：若握手状态异常，优先检查QCH输入指标；若轮换集合异常，优先检查policy和registry；若页面显示异常，则检查GUI事件绑定和API响应。</w:t>
      </w:r>
    </w:p>
    <w:p>
      <w:pPr>
        <w:jc w:val="center"/>
      </w:pPr>
      <w:r>
        <w:drawing>
          <wp:inline xmlns:a="http://schemas.openxmlformats.org/drawingml/2006/main" xmlns:pic="http://schemas.openxmlformats.org/drawingml/2006/picture">
            <wp:extent cx="5472000" cy="3283200"/>
            <wp:docPr id="2" name="Picture 2"/>
            <wp:cNvGraphicFramePr>
              <a:graphicFrameLocks noChangeAspect="1"/>
            </wp:cNvGraphicFramePr>
            <a:graphic>
              <a:graphicData uri="http://schemas.openxmlformats.org/drawingml/2006/picture">
                <pic:pic>
                  <pic:nvPicPr>
                    <pic:cNvPr id="0" name="module_logic.png"/>
                    <pic:cNvPicPr/>
                  </pic:nvPicPr>
                  <pic:blipFill>
                    <a:blip r:embed="rId12"/>
                    <a:stretch>
                      <a:fillRect/>
                    </a:stretch>
                  </pic:blipFill>
                  <pic:spPr>
                    <a:xfrm>
                      <a:off x="0" y="0"/>
                      <a:ext cx="5472000" cy="3283200"/>
                    </a:xfrm>
                    <a:prstGeom prst="rect"/>
                  </pic:spPr>
                </pic:pic>
              </a:graphicData>
            </a:graphic>
          </wp:inline>
        </w:drawing>
      </w:r>
    </w:p>
    <w:p>
      <w:pPr>
        <w:spacing w:after="160"/>
        <w:jc w:val="center"/>
      </w:pPr>
      <w:r/>
      <w:r>
        <w:rPr>
          <w:rFonts w:ascii="宋体" w:hAnsi="宋体" w:eastAsia="宋体"/>
          <w:b/>
          <w:color w:val="000000"/>
          <w:sz w:val="18"/>
        </w:rPr>
        <w:t>图2 核心模块逻辑框图</w:t>
      </w:r>
    </w:p>
    <w:p>
      <w:r>
        <w:br w:type="page"/>
      </w:r>
    </w:p>
    <w:tbl>
      <w:tblPr>
        <w:tblStyle w:val="TableGrid"/>
        <w:tblW w:type="auto" w:w="0"/>
        <w:tblLook w:firstColumn="1" w:firstRow="1" w:lastColumn="0" w:lastRow="0" w:noHBand="0" w:noVBand="1" w:val="04A0"/>
      </w:tblPr>
      <w:tblGrid>
        <w:gridCol w:w="3343"/>
        <w:gridCol w:w="3343"/>
        <w:gridCol w:w="3343"/>
      </w:tblGrid>
      <w:tr>
        <w:tc>
          <w:tcPr>
            <w:tcW w:type="dxa" w:w="3343"/>
          </w:tcPr>
          <w:p>
            <w:r/>
            <w:r>
              <w:rPr>
                <w:rFonts w:ascii="宋体" w:hAnsi="宋体" w:eastAsia="宋体"/>
                <w:color w:val="000000"/>
                <w:sz w:val="18"/>
              </w:rPr>
              <w:t>模块</w:t>
            </w:r>
          </w:p>
        </w:tc>
        <w:tc>
          <w:tcPr>
            <w:tcW w:type="dxa" w:w="3343"/>
          </w:tcPr>
          <w:p>
            <w:r/>
            <w:r>
              <w:rPr>
                <w:rFonts w:ascii="宋体" w:hAnsi="宋体" w:eastAsia="宋体"/>
                <w:color w:val="000000"/>
                <w:sz w:val="18"/>
              </w:rPr>
              <w:t>源文件</w:t>
            </w:r>
          </w:p>
        </w:tc>
        <w:tc>
          <w:tcPr>
            <w:tcW w:type="dxa" w:w="3343"/>
          </w:tcPr>
          <w:p>
            <w:r/>
            <w:r>
              <w:rPr>
                <w:rFonts w:ascii="宋体" w:hAnsi="宋体" w:eastAsia="宋体"/>
                <w:color w:val="000000"/>
                <w:sz w:val="18"/>
              </w:rPr>
              <w:t>主要职责</w:t>
            </w:r>
          </w:p>
        </w:tc>
      </w:tr>
      <w:tr>
        <w:tc>
          <w:tcPr>
            <w:tcW w:type="dxa" w:w="3343"/>
          </w:tcPr>
          <w:p>
            <w:r/>
            <w:r>
              <w:rPr>
                <w:rFonts w:ascii="宋体" w:hAnsi="宋体" w:eastAsia="宋体"/>
                <w:color w:val="000000"/>
                <w:sz w:val="18"/>
              </w:rPr>
              <w:t>QCH-KEM</w:t>
            </w:r>
          </w:p>
        </w:tc>
        <w:tc>
          <w:tcPr>
            <w:tcW w:type="dxa" w:w="3343"/>
          </w:tcPr>
          <w:p>
            <w:r/>
            <w:r>
              <w:rPr>
                <w:rFonts w:ascii="宋体" w:hAnsi="宋体" w:eastAsia="宋体"/>
                <w:color w:val="000000"/>
                <w:sz w:val="18"/>
              </w:rPr>
              <w:t>qcrypto_toolkit/qch_kem.py</w:t>
            </w:r>
          </w:p>
        </w:tc>
        <w:tc>
          <w:tcPr>
            <w:tcW w:type="dxa" w:w="3343"/>
          </w:tcPr>
          <w:p>
            <w:r/>
            <w:r>
              <w:rPr>
                <w:rFonts w:ascii="宋体" w:hAnsi="宋体" w:eastAsia="宋体"/>
                <w:color w:val="000000"/>
                <w:sz w:val="18"/>
              </w:rPr>
              <w:t>QKD状态监测、PQC参数选择、HKDF组合和握手确认</w:t>
            </w:r>
          </w:p>
        </w:tc>
      </w:tr>
      <w:tr>
        <w:tc>
          <w:tcPr>
            <w:tcW w:type="dxa" w:w="3343"/>
          </w:tcPr>
          <w:p>
            <w:r/>
            <w:r>
              <w:rPr>
                <w:rFonts w:ascii="宋体" w:hAnsi="宋体" w:eastAsia="宋体"/>
                <w:color w:val="000000"/>
                <w:sz w:val="18"/>
              </w:rPr>
              <w:t>DLHP</w:t>
            </w:r>
          </w:p>
        </w:tc>
        <w:tc>
          <w:tcPr>
            <w:tcW w:type="dxa" w:w="3343"/>
          </w:tcPr>
          <w:p>
            <w:r/>
            <w:r>
              <w:rPr>
                <w:rFonts w:ascii="宋体" w:hAnsi="宋体" w:eastAsia="宋体"/>
                <w:color w:val="000000"/>
                <w:sz w:val="18"/>
              </w:rPr>
              <w:t>qcrypto_toolkit/dlhp.py</w:t>
            </w:r>
          </w:p>
        </w:tc>
        <w:tc>
          <w:tcPr>
            <w:tcW w:type="dxa" w:w="3343"/>
          </w:tcPr>
          <w:p>
            <w:r/>
            <w:r>
              <w:rPr>
                <w:rFonts w:ascii="宋体" w:hAnsi="宋体" w:eastAsia="宋体"/>
                <w:color w:val="000000"/>
                <w:sz w:val="18"/>
              </w:rPr>
              <w:t>动态跳频调度、阈值分片、受保护单元、重放窗口和诱饵包</w:t>
            </w:r>
          </w:p>
        </w:tc>
      </w:tr>
      <w:tr>
        <w:tc>
          <w:tcPr>
            <w:tcW w:type="dxa" w:w="3343"/>
          </w:tcPr>
          <w:p>
            <w:r/>
            <w:r>
              <w:rPr>
                <w:rFonts w:ascii="宋体" w:hAnsi="宋体" w:eastAsia="宋体"/>
                <w:color w:val="000000"/>
                <w:sz w:val="18"/>
              </w:rPr>
              <w:t>算法目录</w:t>
            </w:r>
          </w:p>
        </w:tc>
        <w:tc>
          <w:tcPr>
            <w:tcW w:type="dxa" w:w="3343"/>
          </w:tcPr>
          <w:p>
            <w:r/>
            <w:r>
              <w:rPr>
                <w:rFonts w:ascii="宋体" w:hAnsi="宋体" w:eastAsia="宋体"/>
                <w:color w:val="000000"/>
                <w:sz w:val="18"/>
              </w:rPr>
              <w:t>qcrypto_toolkit/registry.py</w:t>
            </w:r>
          </w:p>
        </w:tc>
        <w:tc>
          <w:tcPr>
            <w:tcW w:type="dxa" w:w="3343"/>
          </w:tcPr>
          <w:p>
            <w:r/>
            <w:r>
              <w:rPr>
                <w:rFonts w:ascii="宋体" w:hAnsi="宋体" w:eastAsia="宋体"/>
                <w:color w:val="000000"/>
                <w:sz w:val="18"/>
              </w:rPr>
              <w:t>维护算法类型、成熟度、安全位数和尺寸参数</w:t>
            </w:r>
          </w:p>
        </w:tc>
      </w:tr>
      <w:tr>
        <w:tc>
          <w:tcPr>
            <w:tcW w:type="dxa" w:w="3343"/>
          </w:tcPr>
          <w:p>
            <w:r/>
            <w:r>
              <w:rPr>
                <w:rFonts w:ascii="宋体" w:hAnsi="宋体" w:eastAsia="宋体"/>
                <w:color w:val="000000"/>
                <w:sz w:val="18"/>
              </w:rPr>
              <w:t>策略推荐</w:t>
            </w:r>
          </w:p>
        </w:tc>
        <w:tc>
          <w:tcPr>
            <w:tcW w:type="dxa" w:w="3343"/>
          </w:tcPr>
          <w:p>
            <w:r/>
            <w:r>
              <w:rPr>
                <w:rFonts w:ascii="宋体" w:hAnsi="宋体" w:eastAsia="宋体"/>
                <w:color w:val="000000"/>
                <w:sz w:val="18"/>
              </w:rPr>
              <w:t>qcrypto_toolkit/policy.py</w:t>
            </w:r>
          </w:p>
        </w:tc>
        <w:tc>
          <w:tcPr>
            <w:tcW w:type="dxa" w:w="3343"/>
          </w:tcPr>
          <w:p>
            <w:r/>
            <w:r>
              <w:rPr>
                <w:rFonts w:ascii="宋体" w:hAnsi="宋体" w:eastAsia="宋体"/>
                <w:color w:val="000000"/>
                <w:sz w:val="18"/>
              </w:rPr>
              <w:t>按照部署画像生成KEM、签名和DLHP轮换建议</w:t>
            </w:r>
          </w:p>
        </w:tc>
      </w:tr>
      <w:tr>
        <w:tc>
          <w:tcPr>
            <w:tcW w:type="dxa" w:w="3343"/>
          </w:tcPr>
          <w:p>
            <w:r/>
            <w:r>
              <w:rPr>
                <w:rFonts w:ascii="宋体" w:hAnsi="宋体" w:eastAsia="宋体"/>
                <w:color w:val="000000"/>
                <w:sz w:val="18"/>
              </w:rPr>
              <w:t>报告与矩阵</w:t>
            </w:r>
          </w:p>
        </w:tc>
        <w:tc>
          <w:tcPr>
            <w:tcW w:type="dxa" w:w="3343"/>
          </w:tcPr>
          <w:p>
            <w:r/>
            <w:r>
              <w:rPr>
                <w:rFonts w:ascii="宋体" w:hAnsi="宋体" w:eastAsia="宋体"/>
                <w:color w:val="000000"/>
                <w:sz w:val="18"/>
              </w:rPr>
              <w:t>qcrypto_toolkit/reports.py</w:t>
            </w:r>
          </w:p>
        </w:tc>
        <w:tc>
          <w:tcPr>
            <w:tcW w:type="dxa" w:w="3343"/>
          </w:tcPr>
          <w:p>
            <w:r/>
            <w:r>
              <w:rPr>
                <w:rFonts w:ascii="宋体" w:hAnsi="宋体" w:eastAsia="宋体"/>
                <w:color w:val="000000"/>
                <w:sz w:val="18"/>
              </w:rPr>
              <w:t>生成综合安全报告、多画像比较矩阵和目录JSON</w:t>
            </w:r>
          </w:p>
        </w:tc>
      </w:tr>
      <w:tr>
        <w:tc>
          <w:tcPr>
            <w:tcW w:type="dxa" w:w="3343"/>
          </w:tcPr>
          <w:p>
            <w:r/>
            <w:r>
              <w:rPr>
                <w:rFonts w:ascii="宋体" w:hAnsi="宋体" w:eastAsia="宋体"/>
                <w:color w:val="000000"/>
                <w:sz w:val="18"/>
              </w:rPr>
              <w:t>CLI/GUI</w:t>
            </w:r>
          </w:p>
        </w:tc>
        <w:tc>
          <w:tcPr>
            <w:tcW w:type="dxa" w:w="3343"/>
          </w:tcPr>
          <w:p>
            <w:r/>
            <w:r>
              <w:rPr>
                <w:rFonts w:ascii="宋体" w:hAnsi="宋体" w:eastAsia="宋体"/>
                <w:color w:val="000000"/>
                <w:sz w:val="18"/>
              </w:rPr>
              <w:t>qcrypto_toolkit/cli.py、gui.py</w:t>
            </w:r>
          </w:p>
        </w:tc>
        <w:tc>
          <w:tcPr>
            <w:tcW w:type="dxa" w:w="3343"/>
          </w:tcPr>
          <w:p>
            <w:r/>
            <w:r>
              <w:rPr>
                <w:rFonts w:ascii="宋体" w:hAnsi="宋体" w:eastAsia="宋体"/>
                <w:color w:val="000000"/>
                <w:sz w:val="18"/>
              </w:rPr>
              <w:t>提供命令行入口、本地Web控制台和API响应</w:t>
            </w:r>
          </w:p>
        </w:tc>
      </w:tr>
    </w:tbl>
    <w:p/>
    <w:p>
      <w:pPr>
        <w:pStyle w:val="Heading2"/>
        <w:spacing w:before="160" w:after="120"/>
      </w:pPr>
      <w:r/>
      <w:r>
        <w:rPr>
          <w:rFonts w:ascii="宋体" w:hAnsi="宋体" w:eastAsia="宋体"/>
          <w:b/>
          <w:color w:val="000000"/>
          <w:sz w:val="26"/>
        </w:rPr>
        <w:t>2.3 运行流程</w:t>
      </w:r>
    </w:p>
    <w:p>
      <w:pPr>
        <w:pStyle w:val="BodyText"/>
        <w:spacing w:line="360" w:lineRule="auto" w:after="120"/>
        <w:ind w:firstLine="420"/>
      </w:pPr>
      <w:r/>
      <w:r>
        <w:rPr>
          <w:rFonts w:ascii="宋体" w:hAnsi="宋体" w:eastAsia="宋体"/>
          <w:b w:val="0"/>
          <w:color w:val="000000"/>
          <w:sz w:val="21"/>
        </w:rPr>
        <w:t>软件运行时先由CLI或GUI接收用户输入，再经过validation.py统一校验。合法参数进入QCH-KEM或DLHP核心模块计算，结果被转换为结构化JSON。报告模块可进一步组合策略推荐、算法目录、QCH握手结果和DLHP调度统计。GUI与CLI复用同一套核心函数，因此两种入口的业务含义保持一致。</w:t>
      </w:r>
    </w:p>
    <w:p>
      <w:pPr>
        <w:pStyle w:val="BodyText"/>
        <w:spacing w:line="360" w:lineRule="auto" w:after="120"/>
        <w:ind w:firstLine="420"/>
      </w:pPr>
      <w:r/>
      <w:r>
        <w:rPr>
          <w:rFonts w:ascii="宋体" w:hAnsi="宋体" w:eastAsia="宋体"/>
          <w:b w:val="0"/>
          <w:color w:val="000000"/>
          <w:sz w:val="21"/>
        </w:rPr>
        <w:t>错误流程同样保持统一。QBER超出0到1范围、计数类参数为负数、部署画像无法识别或JSON请求格式不正确时，软件会在入口层直接返回明确错误，不继续执行协议演示。GUI把这些错误展示为接口返回的error字段，CLI则把错误写入标准错误流并返回非零退出码，方便自动化测试和脚本调用准确识别失败原因。</w:t>
      </w:r>
    </w:p>
    <w:p>
      <w:pPr>
        <w:jc w:val="center"/>
      </w:pPr>
      <w:r>
        <w:drawing>
          <wp:inline xmlns:a="http://schemas.openxmlformats.org/drawingml/2006/main" xmlns:pic="http://schemas.openxmlformats.org/drawingml/2006/picture">
            <wp:extent cx="5472000" cy="3283200"/>
            <wp:docPr id="3" name="Picture 3"/>
            <wp:cNvGraphicFramePr>
              <a:graphicFrameLocks noChangeAspect="1"/>
            </wp:cNvGraphicFramePr>
            <a:graphic>
              <a:graphicData uri="http://schemas.openxmlformats.org/drawingml/2006/picture">
                <pic:pic>
                  <pic:nvPicPr>
                    <pic:cNvPr id="0" name="protocol_flow.png"/>
                    <pic:cNvPicPr/>
                  </pic:nvPicPr>
                  <pic:blipFill>
                    <a:blip r:embed="rId13"/>
                    <a:stretch>
                      <a:fillRect/>
                    </a:stretch>
                  </pic:blipFill>
                  <pic:spPr>
                    <a:xfrm>
                      <a:off x="0" y="0"/>
                      <a:ext cx="5472000" cy="3283200"/>
                    </a:xfrm>
                    <a:prstGeom prst="rect"/>
                  </pic:spPr>
                </pic:pic>
              </a:graphicData>
            </a:graphic>
          </wp:inline>
        </w:drawing>
      </w:r>
    </w:p>
    <w:p>
      <w:pPr>
        <w:spacing w:after="160"/>
        <w:jc w:val="center"/>
      </w:pPr>
      <w:r/>
      <w:r>
        <w:rPr>
          <w:rFonts w:ascii="宋体" w:hAnsi="宋体" w:eastAsia="宋体"/>
          <w:b/>
          <w:color w:val="000000"/>
          <w:sz w:val="18"/>
        </w:rPr>
        <w:t>图3 协议处理流程图</w:t>
      </w:r>
    </w:p>
    <w:p>
      <w:pPr>
        <w:pStyle w:val="Heading1"/>
        <w:spacing w:before="240" w:after="160"/>
      </w:pPr>
      <w:r/>
      <w:r>
        <w:rPr>
          <w:rFonts w:ascii="宋体" w:hAnsi="宋体" w:eastAsia="宋体"/>
          <w:b/>
          <w:color w:val="000000"/>
          <w:sz w:val="32"/>
        </w:rPr>
        <w:t>3、 核心功能说明</w:t>
      </w:r>
    </w:p>
    <w:p>
      <w:pPr>
        <w:pStyle w:val="Heading2"/>
        <w:spacing w:before="160" w:after="120"/>
      </w:pPr>
      <w:r/>
      <w:r>
        <w:rPr>
          <w:rFonts w:ascii="宋体" w:hAnsi="宋体" w:eastAsia="宋体"/>
          <w:b/>
          <w:color w:val="000000"/>
          <w:sz w:val="26"/>
        </w:rPr>
        <w:t>3.1 QCH-KEM混合握手</w:t>
      </w:r>
    </w:p>
    <w:p>
      <w:pPr>
        <w:pStyle w:val="BodyText"/>
        <w:spacing w:line="360" w:lineRule="auto" w:after="120"/>
        <w:ind w:firstLine="420"/>
      </w:pPr>
      <w:r/>
      <w:r>
        <w:rPr>
          <w:rFonts w:ascii="宋体" w:hAnsi="宋体" w:eastAsia="宋体"/>
          <w:b w:val="0"/>
          <w:color w:val="000000"/>
          <w:sz w:val="21"/>
        </w:rPr>
        <w:t>QCH-KEM功能用于演示量子密钥材料与后量子KEM共享秘密的组合流程。软件通过QKDKeyBuffer模拟QKD密钥池，通过QKDMetrics记录速率、误码率、可用字节数和健康状态。SyncController根据QKD材料和QBER判断NORMAL、DEGRADED、FALLBACK或RECOVERY状态，并在ML-KEM-512、ML-KEM-768和ML-KEM-1024之间选择参数档。</w:t>
      </w:r>
    </w:p>
    <w:p>
      <w:pPr>
        <w:pStyle w:val="BodyText"/>
        <w:spacing w:line="360" w:lineRule="auto" w:after="120"/>
        <w:ind w:firstLine="420"/>
      </w:pPr>
      <w:r/>
      <w:r>
        <w:rPr>
          <w:rFonts w:ascii="宋体" w:hAnsi="宋体" w:eastAsia="宋体"/>
          <w:b w:val="0"/>
          <w:color w:val="000000"/>
          <w:sz w:val="21"/>
        </w:rPr>
        <w:t>握手过程中，演示KEM适配器产生PQC共享秘密和密文，QKD材料按需从缓冲区取出，随后通过HKDF派生会话密钥。系统使用确认MAC检查双方派生结果是否一致，并在QCHHandshakeTrace中输出状态、参数档、QKD消耗字节数、带宽估计、安全裕量、QRNG健康信息和审计事件。默认输出不包含会话密钥，只有显式调试参数才显示。</w:t>
      </w:r>
    </w:p>
    <w:p>
      <w:pPr>
        <w:pStyle w:val="Heading2"/>
        <w:spacing w:before="160" w:after="120"/>
      </w:pPr>
      <w:r/>
      <w:r>
        <w:rPr>
          <w:rFonts w:ascii="宋体" w:hAnsi="宋体" w:eastAsia="宋体"/>
          <w:b/>
          <w:color w:val="000000"/>
          <w:sz w:val="26"/>
        </w:rPr>
        <w:t>3.2 DLHP动态跳频保护</w:t>
      </w:r>
    </w:p>
    <w:p>
      <w:pPr>
        <w:pStyle w:val="BodyText"/>
        <w:spacing w:line="360" w:lineRule="auto" w:after="120"/>
        <w:ind w:firstLine="420"/>
      </w:pPr>
      <w:r/>
      <w:r>
        <w:rPr>
          <w:rFonts w:ascii="宋体" w:hAnsi="宋体" w:eastAsia="宋体"/>
          <w:b w:val="0"/>
          <w:color w:val="000000"/>
          <w:sz w:val="21"/>
        </w:rPr>
        <w:t>DLHP功能用于演示基于SeqID的动态多原语密码跳频机制。derive_hop函数根据主密钥、SeqID和模式salt派生候选算法和packet_key；generate_schedule按序列生成跳频调度，并通过previous_class约束避免相邻硬问题类别重复。当前默认库覆盖结构格、NTRU格、Goppa码、QC-MDPC和非结构格等类别。</w:t>
      </w:r>
    </w:p>
    <w:p>
      <w:pPr>
        <w:pStyle w:val="BodyText"/>
        <w:spacing w:line="360" w:lineRule="auto" w:after="120"/>
        <w:ind w:firstLine="420"/>
      </w:pPr>
      <w:r/>
      <w:r>
        <w:rPr>
          <w:rFonts w:ascii="宋体" w:hAnsi="宋体" w:eastAsia="宋体"/>
          <w:b w:val="0"/>
          <w:color w:val="000000"/>
          <w:sz w:val="21"/>
        </w:rPr>
        <w:t>在数据保护方面，软件提供Shamir阈值分片和受保护单元两种演示能力。protect_payload可将明文拆分为k/n份，并为每份分片绑定不同SeqID和算法信息；DLHPSession.protect_unit可生成包含header、nonce、ciphertext和tag的单包保护结果。接收端通过ReplayWindow拒绝重复或过旧序列号，generate_chaff_units可生成外形合法的诱饵包。</w:t>
      </w:r>
    </w:p>
    <w:p>
      <w:pPr>
        <w:pStyle w:val="Heading2"/>
        <w:spacing w:before="160" w:after="120"/>
      </w:pPr>
      <w:r/>
      <w:r>
        <w:rPr>
          <w:rFonts w:ascii="宋体" w:hAnsi="宋体" w:eastAsia="宋体"/>
          <w:b/>
          <w:color w:val="000000"/>
          <w:sz w:val="26"/>
        </w:rPr>
        <w:t>3.3 算法目录与策略推荐</w:t>
      </w:r>
    </w:p>
    <w:p>
      <w:pPr>
        <w:pStyle w:val="BodyText"/>
        <w:spacing w:line="360" w:lineRule="auto" w:after="120"/>
        <w:ind w:firstLine="420"/>
      </w:pPr>
      <w:r/>
      <w:r>
        <w:rPr>
          <w:rFonts w:ascii="宋体" w:hAnsi="宋体" w:eastAsia="宋体"/>
          <w:b w:val="0"/>
          <w:color w:val="000000"/>
          <w:sz w:val="21"/>
        </w:rPr>
        <w:t>算法目录模块维护KEM、签名、混合、跳频和实验性算法的元数据，包括算法名称、别名、硬问题类别、成熟度、安全位数、公钥尺寸、密文尺寸、签名尺寸和说明标签。策略模块根据balanced、high_assurance、bandwidth_constrained、long_term_archive和experimental_diversity等部署画像，给出主KEM、备KEM、主签名、备签名和DLHP允许轮换集合。</w:t>
      </w:r>
    </w:p>
    <w:p>
      <w:pPr>
        <w:pStyle w:val="BodyText"/>
        <w:spacing w:line="360" w:lineRule="auto" w:after="120"/>
        <w:ind w:firstLine="420"/>
      </w:pPr>
      <w:r/>
      <w:r>
        <w:rPr>
          <w:rFonts w:ascii="宋体" w:hAnsi="宋体" w:eastAsia="宋体"/>
          <w:b w:val="0"/>
          <w:color w:val="000000"/>
          <w:sz w:val="21"/>
        </w:rPr>
        <w:t>综合报告功能把策略推荐、QCH握手结果和DLHP调度统计合并为JSON报告。报告固定提示当前组件用于协议验证和流程演示，生产部署需要替换经审计的KEM、AEAD、QKD设备接口、密钥擦除和侧信道防护组件。多画像矩阵可在同一组QKD输入下比较不同部署画像的安全强度、带宽成本和调度多样性。</w:t>
      </w:r>
    </w:p>
    <w:p>
      <w:pPr>
        <w:pStyle w:val="Heading1"/>
        <w:spacing w:before="240" w:after="160"/>
      </w:pPr>
      <w:r/>
      <w:r>
        <w:rPr>
          <w:rFonts w:ascii="宋体" w:hAnsi="宋体" w:eastAsia="宋体"/>
          <w:b/>
          <w:color w:val="000000"/>
          <w:sz w:val="32"/>
        </w:rPr>
        <w:t>4、 操作使用说明</w:t>
      </w:r>
    </w:p>
    <w:p>
      <w:pPr>
        <w:pStyle w:val="Heading2"/>
        <w:spacing w:before="160" w:after="120"/>
      </w:pPr>
      <w:r/>
      <w:r>
        <w:rPr>
          <w:rFonts w:ascii="宋体" w:hAnsi="宋体" w:eastAsia="宋体"/>
          <w:b/>
          <w:color w:val="000000"/>
          <w:sz w:val="26"/>
        </w:rPr>
        <w:t>4.1 命令行使用</w:t>
      </w:r>
    </w:p>
    <w:p>
      <w:pPr>
        <w:pStyle w:val="BodyText"/>
        <w:spacing w:line="360" w:lineRule="auto" w:after="120"/>
        <w:ind w:firstLine="420"/>
      </w:pPr>
      <w:r/>
      <w:r>
        <w:rPr>
          <w:rFonts w:ascii="宋体" w:hAnsi="宋体" w:eastAsia="宋体"/>
          <w:b w:val="0"/>
          <w:color w:val="000000"/>
          <w:sz w:val="21"/>
        </w:rPr>
        <w:t>用户进入软件根目录后，可通过python3 -m qcrypto_toolkit.cli调用命令行工具。qch-demo用于运行一次QCH-KEM混合握手；dlhp-schedule用于生成并统计跳频调度；dlhp-protect用于演示阈值分片保护和恢复；dlhp-unit用于生成并打开单个受保护单元；dlhp-chaff用于生成诱饵包。</w:t>
      </w:r>
    </w:p>
    <w:p>
      <w:pPr>
        <w:pStyle w:val="BodyText"/>
        <w:spacing w:line="360" w:lineRule="auto" w:after="120"/>
        <w:ind w:firstLine="420"/>
      </w:pPr>
      <w:r/>
      <w:r>
        <w:rPr>
          <w:rFonts w:ascii="宋体" w:hAnsi="宋体" w:eastAsia="宋体"/>
          <w:b w:val="0"/>
          <w:color w:val="000000"/>
          <w:sz w:val="21"/>
        </w:rPr>
        <w:t>常用检查流程可以从qch-demo开始，先确认给定QKD速率和QBER下系统选择的PQC参数档，再运行recommend查看目标部署画像下的主备算法，随后用matrix比较多种画像在同一链路条件下的差异。如果需要验证DLHP保护流程，可先生成schedule观察硬问题类别是否连续变化，再用dlhp-unit检查单包封装、认证tag和重放窗口行为。所有命令默认输出JSON，便于保存、比对和纳入持续集成。</w:t>
      </w:r>
    </w:p>
    <w:tbl>
      <w:tblPr>
        <w:tblStyle w:val="TableGrid"/>
        <w:tblW w:type="auto" w:w="0"/>
        <w:tblLook w:firstColumn="1" w:firstRow="1" w:lastColumn="0" w:lastRow="0" w:noHBand="0" w:noVBand="1" w:val="04A0"/>
      </w:tblPr>
      <w:tblGrid>
        <w:gridCol w:w="3343"/>
        <w:gridCol w:w="3343"/>
        <w:gridCol w:w="3343"/>
      </w:tblGrid>
      <w:tr>
        <w:tc>
          <w:tcPr>
            <w:tcW w:type="dxa" w:w="3343"/>
          </w:tcPr>
          <w:p>
            <w:r/>
            <w:r>
              <w:rPr>
                <w:rFonts w:ascii="宋体" w:hAnsi="宋体" w:eastAsia="宋体"/>
                <w:color w:val="000000"/>
                <w:sz w:val="18"/>
              </w:rPr>
              <w:t>命令</w:t>
            </w:r>
          </w:p>
        </w:tc>
        <w:tc>
          <w:tcPr>
            <w:tcW w:type="dxa" w:w="3343"/>
          </w:tcPr>
          <w:p>
            <w:r/>
            <w:r>
              <w:rPr>
                <w:rFonts w:ascii="宋体" w:hAnsi="宋体" w:eastAsia="宋体"/>
                <w:color w:val="000000"/>
                <w:sz w:val="18"/>
              </w:rPr>
              <w:t>用途</w:t>
            </w:r>
          </w:p>
        </w:tc>
        <w:tc>
          <w:tcPr>
            <w:tcW w:type="dxa" w:w="3343"/>
          </w:tcPr>
          <w:p>
            <w:r/>
            <w:r>
              <w:rPr>
                <w:rFonts w:ascii="宋体" w:hAnsi="宋体" w:eastAsia="宋体"/>
                <w:color w:val="000000"/>
                <w:sz w:val="18"/>
              </w:rPr>
              <w:t>主要参数</w:t>
            </w:r>
          </w:p>
        </w:tc>
      </w:tr>
      <w:tr>
        <w:tc>
          <w:tcPr>
            <w:tcW w:type="dxa" w:w="3343"/>
          </w:tcPr>
          <w:p>
            <w:r/>
            <w:r>
              <w:rPr>
                <w:rFonts w:ascii="宋体" w:hAnsi="宋体" w:eastAsia="宋体"/>
                <w:color w:val="000000"/>
                <w:sz w:val="18"/>
              </w:rPr>
              <w:t>qch-demo</w:t>
            </w:r>
          </w:p>
        </w:tc>
        <w:tc>
          <w:tcPr>
            <w:tcW w:type="dxa" w:w="3343"/>
          </w:tcPr>
          <w:p>
            <w:r/>
            <w:r>
              <w:rPr>
                <w:rFonts w:ascii="宋体" w:hAnsi="宋体" w:eastAsia="宋体"/>
                <w:color w:val="000000"/>
                <w:sz w:val="18"/>
              </w:rPr>
              <w:t>运行QCH-KEM混合握手</w:t>
            </w:r>
          </w:p>
        </w:tc>
        <w:tc>
          <w:tcPr>
            <w:tcW w:type="dxa" w:w="3343"/>
          </w:tcPr>
          <w:p>
            <w:r/>
            <w:r>
              <w:rPr>
                <w:rFonts w:ascii="宋体" w:hAnsi="宋体" w:eastAsia="宋体"/>
                <w:color w:val="000000"/>
                <w:sz w:val="18"/>
              </w:rPr>
              <w:t>--qkd-bytes、--qkd-rate、--qber、--show-key</w:t>
            </w:r>
          </w:p>
        </w:tc>
      </w:tr>
      <w:tr>
        <w:tc>
          <w:tcPr>
            <w:tcW w:type="dxa" w:w="3343"/>
          </w:tcPr>
          <w:p>
            <w:r/>
            <w:r>
              <w:rPr>
                <w:rFonts w:ascii="宋体" w:hAnsi="宋体" w:eastAsia="宋体"/>
                <w:color w:val="000000"/>
                <w:sz w:val="18"/>
              </w:rPr>
              <w:t>recommend</w:t>
            </w:r>
          </w:p>
        </w:tc>
        <w:tc>
          <w:tcPr>
            <w:tcW w:type="dxa" w:w="3343"/>
          </w:tcPr>
          <w:p>
            <w:r/>
            <w:r>
              <w:rPr>
                <w:rFonts w:ascii="宋体" w:hAnsi="宋体" w:eastAsia="宋体"/>
                <w:color w:val="000000"/>
                <w:sz w:val="18"/>
              </w:rPr>
              <w:t>输出部署画像推荐</w:t>
            </w:r>
          </w:p>
        </w:tc>
        <w:tc>
          <w:tcPr>
            <w:tcW w:type="dxa" w:w="3343"/>
          </w:tcPr>
          <w:p>
            <w:r/>
            <w:r>
              <w:rPr>
                <w:rFonts w:ascii="宋体" w:hAnsi="宋体" w:eastAsia="宋体"/>
                <w:color w:val="000000"/>
                <w:sz w:val="18"/>
              </w:rPr>
              <w:t>--profile</w:t>
            </w:r>
          </w:p>
        </w:tc>
      </w:tr>
      <w:tr>
        <w:tc>
          <w:tcPr>
            <w:tcW w:type="dxa" w:w="3343"/>
          </w:tcPr>
          <w:p>
            <w:r/>
            <w:r>
              <w:rPr>
                <w:rFonts w:ascii="宋体" w:hAnsi="宋体" w:eastAsia="宋体"/>
                <w:color w:val="000000"/>
                <w:sz w:val="18"/>
              </w:rPr>
              <w:t>catalog</w:t>
            </w:r>
          </w:p>
        </w:tc>
        <w:tc>
          <w:tcPr>
            <w:tcW w:type="dxa" w:w="3343"/>
          </w:tcPr>
          <w:p>
            <w:r/>
            <w:r>
              <w:rPr>
                <w:rFonts w:ascii="宋体" w:hAnsi="宋体" w:eastAsia="宋体"/>
                <w:color w:val="000000"/>
                <w:sz w:val="18"/>
              </w:rPr>
              <w:t>筛选算法目录</w:t>
            </w:r>
          </w:p>
        </w:tc>
        <w:tc>
          <w:tcPr>
            <w:tcW w:type="dxa" w:w="3343"/>
          </w:tcPr>
          <w:p>
            <w:r/>
            <w:r>
              <w:rPr>
                <w:rFonts w:ascii="宋体" w:hAnsi="宋体" w:eastAsia="宋体"/>
                <w:color w:val="000000"/>
                <w:sz w:val="18"/>
              </w:rPr>
              <w:t>--kind、--maturity、--min-security-bits</w:t>
            </w:r>
          </w:p>
        </w:tc>
      </w:tr>
      <w:tr>
        <w:tc>
          <w:tcPr>
            <w:tcW w:type="dxa" w:w="3343"/>
          </w:tcPr>
          <w:p>
            <w:r/>
            <w:r>
              <w:rPr>
                <w:rFonts w:ascii="宋体" w:hAnsi="宋体" w:eastAsia="宋体"/>
                <w:color w:val="000000"/>
                <w:sz w:val="18"/>
              </w:rPr>
              <w:t>report</w:t>
            </w:r>
          </w:p>
        </w:tc>
        <w:tc>
          <w:tcPr>
            <w:tcW w:type="dxa" w:w="3343"/>
          </w:tcPr>
          <w:p>
            <w:r/>
            <w:r>
              <w:rPr>
                <w:rFonts w:ascii="宋体" w:hAnsi="宋体" w:eastAsia="宋体"/>
                <w:color w:val="000000"/>
                <w:sz w:val="18"/>
              </w:rPr>
              <w:t>生成综合安全报告</w:t>
            </w:r>
          </w:p>
        </w:tc>
        <w:tc>
          <w:tcPr>
            <w:tcW w:type="dxa" w:w="3343"/>
          </w:tcPr>
          <w:p>
            <w:r/>
            <w:r>
              <w:rPr>
                <w:rFonts w:ascii="宋体" w:hAnsi="宋体" w:eastAsia="宋体"/>
                <w:color w:val="000000"/>
                <w:sz w:val="18"/>
              </w:rPr>
              <w:t>--profile、--qkd-bytes、--qkd-rate、--qber</w:t>
            </w:r>
          </w:p>
        </w:tc>
      </w:tr>
      <w:tr>
        <w:tc>
          <w:tcPr>
            <w:tcW w:type="dxa" w:w="3343"/>
          </w:tcPr>
          <w:p>
            <w:r/>
            <w:r>
              <w:rPr>
                <w:rFonts w:ascii="宋体" w:hAnsi="宋体" w:eastAsia="宋体"/>
                <w:color w:val="000000"/>
                <w:sz w:val="18"/>
              </w:rPr>
              <w:t>matrix</w:t>
            </w:r>
          </w:p>
        </w:tc>
        <w:tc>
          <w:tcPr>
            <w:tcW w:type="dxa" w:w="3343"/>
          </w:tcPr>
          <w:p>
            <w:r/>
            <w:r>
              <w:rPr>
                <w:rFonts w:ascii="宋体" w:hAnsi="宋体" w:eastAsia="宋体"/>
                <w:color w:val="000000"/>
                <w:sz w:val="18"/>
              </w:rPr>
              <w:t>比较多个部署画像</w:t>
            </w:r>
          </w:p>
        </w:tc>
        <w:tc>
          <w:tcPr>
            <w:tcW w:type="dxa" w:w="3343"/>
          </w:tcPr>
          <w:p>
            <w:r/>
            <w:r>
              <w:rPr>
                <w:rFonts w:ascii="宋体" w:hAnsi="宋体" w:eastAsia="宋体"/>
                <w:color w:val="000000"/>
                <w:sz w:val="18"/>
              </w:rPr>
              <w:t>profiles、--schedule-count</w:t>
            </w:r>
          </w:p>
        </w:tc>
      </w:tr>
      <w:tr>
        <w:tc>
          <w:tcPr>
            <w:tcW w:type="dxa" w:w="3343"/>
          </w:tcPr>
          <w:p>
            <w:r/>
            <w:r>
              <w:rPr>
                <w:rFonts w:ascii="宋体" w:hAnsi="宋体" w:eastAsia="宋体"/>
                <w:color w:val="000000"/>
                <w:sz w:val="18"/>
              </w:rPr>
              <w:t>dlhp-unit</w:t>
            </w:r>
          </w:p>
        </w:tc>
        <w:tc>
          <w:tcPr>
            <w:tcW w:type="dxa" w:w="3343"/>
          </w:tcPr>
          <w:p>
            <w:r/>
            <w:r>
              <w:rPr>
                <w:rFonts w:ascii="宋体" w:hAnsi="宋体" w:eastAsia="宋体"/>
                <w:color w:val="000000"/>
                <w:sz w:val="18"/>
              </w:rPr>
              <w:t>生成受保护单元</w:t>
            </w:r>
          </w:p>
        </w:tc>
        <w:tc>
          <w:tcPr>
            <w:tcW w:type="dxa" w:w="3343"/>
          </w:tcPr>
          <w:p>
            <w:r/>
            <w:r>
              <w:rPr>
                <w:rFonts w:ascii="宋体" w:hAnsi="宋体" w:eastAsia="宋体"/>
                <w:color w:val="000000"/>
                <w:sz w:val="18"/>
              </w:rPr>
              <w:t>message、--seq-id、--session-id</w:t>
            </w:r>
          </w:p>
        </w:tc>
      </w:tr>
    </w:tbl>
    <w:p/>
    <w:p>
      <w:pPr>
        <w:pStyle w:val="Heading2"/>
        <w:spacing w:before="160" w:after="120"/>
      </w:pPr>
      <w:r/>
      <w:r>
        <w:rPr>
          <w:rFonts w:ascii="宋体" w:hAnsi="宋体" w:eastAsia="宋体"/>
          <w:b/>
          <w:color w:val="000000"/>
          <w:sz w:val="26"/>
        </w:rPr>
        <w:t>4.2 图形界面使用</w:t>
      </w:r>
    </w:p>
    <w:p>
      <w:pPr>
        <w:pStyle w:val="BodyText"/>
        <w:spacing w:line="360" w:lineRule="auto" w:after="120"/>
        <w:ind w:firstLine="420"/>
      </w:pPr>
      <w:r/>
      <w:r>
        <w:rPr>
          <w:rFonts w:ascii="宋体" w:hAnsi="宋体" w:eastAsia="宋体"/>
          <w:b w:val="0"/>
          <w:color w:val="000000"/>
          <w:sz w:val="21"/>
        </w:rPr>
        <w:t>图形界面通过python3 -m qcrypto_toolkit.cli gui启动，默认监听127.0.0.1:8765。页面左侧为工具导航，顶部显示运行状态，主体区域提供Overview、QCH、DLHP、Catalog、Report等工具面板。用户填写参数后点击对应按钮，页面会展示摘要、时间线和完整JSON，并支持复制或下载当前结果。</w:t>
      </w:r>
    </w:p>
    <w:p>
      <w:pPr>
        <w:pStyle w:val="BodyText"/>
        <w:spacing w:line="360" w:lineRule="auto" w:after="120"/>
        <w:ind w:firstLine="420"/>
      </w:pPr>
      <w:r/>
      <w:r>
        <w:rPr>
          <w:rFonts w:ascii="宋体" w:hAnsi="宋体" w:eastAsia="宋体"/>
          <w:b w:val="0"/>
          <w:color w:val="000000"/>
          <w:sz w:val="21"/>
        </w:rPr>
        <w:t>用户进入页面后通常先查看Overview矩阵，确认不同部署画像的推荐顺序和带宽差异；随后切换到QCH-KEM面板运行混合握手，查看state、pqc_profile和audit_events；再切换到DLHP面板验证受保护单元、调度预览或诱饵包。这样的路径覆盖了从策略评估到协议演示再到结果保存的完整流程。</w:t>
      </w:r>
    </w:p>
    <w:p>
      <w:pPr>
        <w:pStyle w:val="BodyText"/>
        <w:spacing w:line="360" w:lineRule="auto" w:after="120"/>
        <w:ind w:firstLine="420"/>
      </w:pPr>
      <w:r/>
      <w:r>
        <w:rPr>
          <w:rFonts w:ascii="宋体" w:hAnsi="宋体" w:eastAsia="宋体"/>
          <w:b w:val="0"/>
          <w:color w:val="000000"/>
          <w:sz w:val="21"/>
        </w:rPr>
        <w:t>GUI接口由标准库HTTP服务提供，不需要前端构建工具。/api/health返回版本和工具列表，/api/qch-demo返回混合握手结果，/api/recommend返回策略推荐，/api/catalog返回算法目录，/api/report返回综合安全报告，/api/matrix返回多画像比较矩阵。错误响应统一返回JSON对象和明确的error字段。</w:t>
      </w:r>
    </w:p>
    <w:p>
      <w:pPr>
        <w:pStyle w:val="Heading1"/>
        <w:spacing w:before="240" w:after="160"/>
      </w:pPr>
      <w:r/>
      <w:r>
        <w:rPr>
          <w:rFonts w:ascii="宋体" w:hAnsi="宋体" w:eastAsia="宋体"/>
          <w:b/>
          <w:color w:val="000000"/>
          <w:sz w:val="32"/>
        </w:rPr>
        <w:t>5、 接口与数据说明</w:t>
      </w:r>
    </w:p>
    <w:p>
      <w:pPr>
        <w:pStyle w:val="Heading2"/>
        <w:spacing w:before="160" w:after="120"/>
      </w:pPr>
      <w:r/>
      <w:r>
        <w:rPr>
          <w:rFonts w:ascii="宋体" w:hAnsi="宋体" w:eastAsia="宋体"/>
          <w:b/>
          <w:color w:val="000000"/>
          <w:sz w:val="26"/>
        </w:rPr>
        <w:t>5.1 输入参数</w:t>
      </w:r>
    </w:p>
    <w:p>
      <w:pPr>
        <w:pStyle w:val="BodyText"/>
        <w:spacing w:line="360" w:lineRule="auto" w:after="120"/>
        <w:ind w:firstLine="420"/>
      </w:pPr>
      <w:r/>
      <w:r>
        <w:rPr>
          <w:rFonts w:ascii="宋体" w:hAnsi="宋体" w:eastAsia="宋体"/>
          <w:b w:val="0"/>
          <w:color w:val="000000"/>
          <w:sz w:val="21"/>
        </w:rPr>
        <w:t>软件的主要输入包括QKD可用字节数、QKD速率、QBER、部署画像、消息文本、SeqID、阈值参数、调度数量和算法筛选条件。命令行入口与GUI表单使用同一组参数名称，便于把交互式演示结果复现为脚本化测试，也便于将来接入自动化评估平台。</w:t>
      </w:r>
    </w:p>
    <w:p>
      <w:pPr>
        <w:pStyle w:val="BodyText"/>
        <w:spacing w:line="360" w:lineRule="auto" w:after="120"/>
        <w:ind w:firstLine="420"/>
      </w:pPr>
      <w:r/>
      <w:r>
        <w:rPr>
          <w:rFonts w:ascii="宋体" w:hAnsi="宋体" w:eastAsia="宋体"/>
          <w:b w:val="0"/>
          <w:color w:val="000000"/>
          <w:sz w:val="21"/>
        </w:rPr>
        <w:t>QKD相关输入用于描述当前量子链路状态，其中qkd_bytes表示当前可用量子密钥材料数量，qkd_rate表示链路可补充速率，qber表示量子误码率。软件不会把这些输入直接解释为真实链路承诺，而是把它们作为状态机判断和参数档选择的依据。</w:t>
      </w:r>
    </w:p>
    <w:p>
      <w:pPr>
        <w:pStyle w:val="BodyText"/>
        <w:spacing w:line="360" w:lineRule="auto" w:after="120"/>
        <w:ind w:firstLine="420"/>
      </w:pPr>
      <w:r/>
      <w:r>
        <w:rPr>
          <w:rFonts w:ascii="宋体" w:hAnsi="宋体" w:eastAsia="宋体"/>
          <w:b w:val="0"/>
          <w:color w:val="000000"/>
          <w:sz w:val="21"/>
        </w:rPr>
        <w:t>DLHP相关输入包括message、seq_id、session_id、threshold、shares和schedule_count。message用于演示负载保护，seq_id用于确定跳频位置，session_id用于隔离不同会话的派生上下文。阈值参数用于说明分片恢复条件，调度数量用于观察一段序列内硬问题类别的轮换情况。</w:t>
      </w:r>
    </w:p>
    <w:p>
      <w:pPr>
        <w:pStyle w:val="Heading2"/>
        <w:spacing w:before="160" w:after="120"/>
      </w:pPr>
      <w:r/>
      <w:r>
        <w:rPr>
          <w:rFonts w:ascii="宋体" w:hAnsi="宋体" w:eastAsia="宋体"/>
          <w:b/>
          <w:color w:val="000000"/>
          <w:sz w:val="26"/>
        </w:rPr>
        <w:t>5.2 输出数据</w:t>
      </w:r>
    </w:p>
    <w:p>
      <w:pPr>
        <w:pStyle w:val="BodyText"/>
        <w:spacing w:line="360" w:lineRule="auto" w:after="120"/>
        <w:ind w:firstLine="420"/>
      </w:pPr>
      <w:r/>
      <w:r>
        <w:rPr>
          <w:rFonts w:ascii="宋体" w:hAnsi="宋体" w:eastAsia="宋体"/>
          <w:b w:val="0"/>
          <w:color w:val="000000"/>
          <w:sz w:val="21"/>
        </w:rPr>
        <w:t>软件的主要输出为JSON对象。QCH输出包含state、pqc_profile、qkd_key_bytes、ciphertext_bytes、security_margin_bits、bandwidth_bytes、确认结果和审计事件。state用于说明当前链路是否处于正常、降级、回退或恢复状态，pqc_profile用于说明选择的后量子参数档。</w:t>
      </w:r>
    </w:p>
    <w:p>
      <w:pPr>
        <w:pStyle w:val="BodyText"/>
        <w:spacing w:line="360" w:lineRule="auto" w:after="120"/>
        <w:ind w:firstLine="420"/>
      </w:pPr>
      <w:r/>
      <w:r>
        <w:rPr>
          <w:rFonts w:ascii="宋体" w:hAnsi="宋体" w:eastAsia="宋体"/>
          <w:b w:val="0"/>
          <w:color w:val="000000"/>
          <w:sz w:val="21"/>
        </w:rPr>
        <w:t>DLHP输出包含header、nonce、ciphertext、tag、hard_problem_class和preferred_path。header记录会话、序号、算法和硬问题类别，tag用于演示认证校验，preferred_path用于标记当前受保护单元的处理路线。二进制字段采用base64或十六进制表示，避免在命令行和浏览器中出现不可见字符。</w:t>
      </w:r>
    </w:p>
    <w:p>
      <w:pPr>
        <w:pStyle w:val="BodyText"/>
        <w:spacing w:line="360" w:lineRule="auto" w:after="120"/>
        <w:ind w:firstLine="420"/>
      </w:pPr>
      <w:r/>
      <w:r>
        <w:rPr>
          <w:rFonts w:ascii="宋体" w:hAnsi="宋体" w:eastAsia="宋体"/>
          <w:b w:val="0"/>
          <w:color w:val="000000"/>
          <w:sz w:val="21"/>
        </w:rPr>
        <w:t>报告输出包含policy、qch、dlhp和summary四个主要部分。policy说明推荐套件，qch记录混合握手结果，dlhp记录调度和多样性统计，summary整理生产边界、风险提示和综合结论。该结构既适合阅读，也适合被测试脚本直接断言。</w:t>
      </w:r>
    </w:p>
    <w:p>
      <w:r>
        <w:br w:type="page"/>
      </w:r>
    </w:p>
    <w:p>
      <w:pPr>
        <w:pStyle w:val="Heading2"/>
        <w:spacing w:before="160" w:after="120"/>
      </w:pPr>
      <w:r/>
      <w:r>
        <w:rPr>
          <w:rFonts w:ascii="宋体" w:hAnsi="宋体" w:eastAsia="宋体"/>
          <w:b/>
          <w:color w:val="000000"/>
          <w:sz w:val="26"/>
        </w:rPr>
        <w:t>5.3 API端点</w:t>
      </w:r>
    </w:p>
    <w:p>
      <w:pPr>
        <w:pStyle w:val="BodyText"/>
        <w:spacing w:line="360" w:lineRule="auto" w:after="120"/>
        <w:ind w:firstLine="420"/>
      </w:pPr>
      <w:r/>
      <w:r>
        <w:rPr>
          <w:rFonts w:ascii="宋体" w:hAnsi="宋体" w:eastAsia="宋体"/>
          <w:b w:val="0"/>
          <w:color w:val="000000"/>
          <w:sz w:val="21"/>
        </w:rPr>
        <w:t>GUI后端由标准库HTTP服务提供，端点采用GET参数输入并返回JSON。该设计用于本地研发演示，不依赖外部服务或前端构建流程。每个端点只负责参数解析、调用核心函数和序列化结果，不保存长期会话状态。</w:t>
      </w:r>
    </w:p>
    <w:p>
      <w:pPr>
        <w:pStyle w:val="BodyText"/>
        <w:spacing w:line="360" w:lineRule="auto" w:after="120"/>
        <w:ind w:firstLine="420"/>
      </w:pPr>
      <w:r/>
      <w:r>
        <w:rPr>
          <w:rFonts w:ascii="宋体" w:hAnsi="宋体" w:eastAsia="宋体"/>
          <w:b w:val="0"/>
          <w:color w:val="000000"/>
          <w:sz w:val="21"/>
        </w:rPr>
        <w:t>主要端点包括/api/health、/api/qch-demo、/api/recommend、/api/catalog、/api/report、/api/matrix、/api/dlhp-unit、/api/dlhp-schedule和/api/dlhp-chaff。前端按钮通过data-endpoint或data-run-endpoint绑定端点，因此同一页面可以在不同工具面板间切换而不重新加载。</w:t>
      </w:r>
    </w:p>
    <w:tbl>
      <w:tblPr>
        <w:tblStyle w:val="TableGrid"/>
        <w:tblW w:type="auto" w:w="0"/>
        <w:tblLook w:firstColumn="1" w:firstRow="1" w:lastColumn="0" w:lastRow="0" w:noHBand="0" w:noVBand="1" w:val="04A0"/>
      </w:tblPr>
      <w:tblGrid>
        <w:gridCol w:w="3343"/>
        <w:gridCol w:w="3343"/>
        <w:gridCol w:w="3343"/>
      </w:tblGrid>
      <w:tr>
        <w:tc>
          <w:tcPr>
            <w:tcW w:type="dxa" w:w="3343"/>
          </w:tcPr>
          <w:p>
            <w:r/>
            <w:r>
              <w:rPr>
                <w:rFonts w:ascii="宋体" w:hAnsi="宋体" w:eastAsia="宋体"/>
                <w:color w:val="000000"/>
                <w:sz w:val="18"/>
              </w:rPr>
              <w:t>API端点</w:t>
            </w:r>
          </w:p>
        </w:tc>
        <w:tc>
          <w:tcPr>
            <w:tcW w:type="dxa" w:w="3343"/>
          </w:tcPr>
          <w:p>
            <w:r/>
            <w:r>
              <w:rPr>
                <w:rFonts w:ascii="宋体" w:hAnsi="宋体" w:eastAsia="宋体"/>
                <w:color w:val="000000"/>
                <w:sz w:val="18"/>
              </w:rPr>
              <w:t>返回内容</w:t>
            </w:r>
          </w:p>
        </w:tc>
        <w:tc>
          <w:tcPr>
            <w:tcW w:type="dxa" w:w="3343"/>
          </w:tcPr>
          <w:p>
            <w:r/>
            <w:r>
              <w:rPr>
                <w:rFonts w:ascii="宋体" w:hAnsi="宋体" w:eastAsia="宋体"/>
                <w:color w:val="000000"/>
                <w:sz w:val="18"/>
              </w:rPr>
              <w:t>说明</w:t>
            </w:r>
          </w:p>
        </w:tc>
      </w:tr>
      <w:tr>
        <w:tc>
          <w:tcPr>
            <w:tcW w:type="dxa" w:w="3343"/>
          </w:tcPr>
          <w:p>
            <w:r/>
            <w:r>
              <w:rPr>
                <w:rFonts w:ascii="宋体" w:hAnsi="宋体" w:eastAsia="宋体"/>
                <w:color w:val="000000"/>
                <w:sz w:val="18"/>
              </w:rPr>
              <w:t>/api/health</w:t>
            </w:r>
          </w:p>
        </w:tc>
        <w:tc>
          <w:tcPr>
            <w:tcW w:type="dxa" w:w="3343"/>
          </w:tcPr>
          <w:p>
            <w:r/>
            <w:r>
              <w:rPr>
                <w:rFonts w:ascii="宋体" w:hAnsi="宋体" w:eastAsia="宋体"/>
                <w:color w:val="000000"/>
                <w:sz w:val="18"/>
              </w:rPr>
              <w:t>版本与工具列表</w:t>
            </w:r>
          </w:p>
        </w:tc>
        <w:tc>
          <w:tcPr>
            <w:tcW w:type="dxa" w:w="3343"/>
          </w:tcPr>
          <w:p>
            <w:r/>
            <w:r>
              <w:rPr>
                <w:rFonts w:ascii="宋体" w:hAnsi="宋体" w:eastAsia="宋体"/>
                <w:color w:val="000000"/>
                <w:sz w:val="18"/>
              </w:rPr>
              <w:t>用于页面启动时确认本地服务可用</w:t>
            </w:r>
          </w:p>
        </w:tc>
      </w:tr>
      <w:tr>
        <w:tc>
          <w:tcPr>
            <w:tcW w:type="dxa" w:w="3343"/>
          </w:tcPr>
          <w:p>
            <w:r/>
            <w:r>
              <w:rPr>
                <w:rFonts w:ascii="宋体" w:hAnsi="宋体" w:eastAsia="宋体"/>
                <w:color w:val="000000"/>
                <w:sz w:val="18"/>
              </w:rPr>
              <w:t>/api/qch-demo</w:t>
            </w:r>
          </w:p>
        </w:tc>
        <w:tc>
          <w:tcPr>
            <w:tcW w:type="dxa" w:w="3343"/>
          </w:tcPr>
          <w:p>
            <w:r/>
            <w:r>
              <w:rPr>
                <w:rFonts w:ascii="宋体" w:hAnsi="宋体" w:eastAsia="宋体"/>
                <w:color w:val="000000"/>
                <w:sz w:val="18"/>
              </w:rPr>
              <w:t>QCH握手结果</w:t>
            </w:r>
          </w:p>
        </w:tc>
        <w:tc>
          <w:tcPr>
            <w:tcW w:type="dxa" w:w="3343"/>
          </w:tcPr>
          <w:p>
            <w:r/>
            <w:r>
              <w:rPr>
                <w:rFonts w:ascii="宋体" w:hAnsi="宋体" w:eastAsia="宋体"/>
                <w:color w:val="000000"/>
                <w:sz w:val="18"/>
              </w:rPr>
              <w:t>返回状态、参数档、带宽估计和审计事件</w:t>
            </w:r>
          </w:p>
        </w:tc>
      </w:tr>
      <w:tr>
        <w:tc>
          <w:tcPr>
            <w:tcW w:type="dxa" w:w="3343"/>
          </w:tcPr>
          <w:p>
            <w:r/>
            <w:r>
              <w:rPr>
                <w:rFonts w:ascii="宋体" w:hAnsi="宋体" w:eastAsia="宋体"/>
                <w:color w:val="000000"/>
                <w:sz w:val="18"/>
              </w:rPr>
              <w:t>/api/recommend</w:t>
            </w:r>
          </w:p>
        </w:tc>
        <w:tc>
          <w:tcPr>
            <w:tcW w:type="dxa" w:w="3343"/>
          </w:tcPr>
          <w:p>
            <w:r/>
            <w:r>
              <w:rPr>
                <w:rFonts w:ascii="宋体" w:hAnsi="宋体" w:eastAsia="宋体"/>
                <w:color w:val="000000"/>
                <w:sz w:val="18"/>
              </w:rPr>
              <w:t>策略推荐</w:t>
            </w:r>
          </w:p>
        </w:tc>
        <w:tc>
          <w:tcPr>
            <w:tcW w:type="dxa" w:w="3343"/>
          </w:tcPr>
          <w:p>
            <w:r/>
            <w:r>
              <w:rPr>
                <w:rFonts w:ascii="宋体" w:hAnsi="宋体" w:eastAsia="宋体"/>
                <w:color w:val="000000"/>
                <w:sz w:val="18"/>
              </w:rPr>
              <w:t>按部署画像输出主备KEM、签名和DLHP轮换</w:t>
            </w:r>
          </w:p>
        </w:tc>
      </w:tr>
      <w:tr>
        <w:tc>
          <w:tcPr>
            <w:tcW w:type="dxa" w:w="3343"/>
          </w:tcPr>
          <w:p>
            <w:r/>
            <w:r>
              <w:rPr>
                <w:rFonts w:ascii="宋体" w:hAnsi="宋体" w:eastAsia="宋体"/>
                <w:color w:val="000000"/>
                <w:sz w:val="18"/>
              </w:rPr>
              <w:t>/api/catalog</w:t>
            </w:r>
          </w:p>
        </w:tc>
        <w:tc>
          <w:tcPr>
            <w:tcW w:type="dxa" w:w="3343"/>
          </w:tcPr>
          <w:p>
            <w:r/>
            <w:r>
              <w:rPr>
                <w:rFonts w:ascii="宋体" w:hAnsi="宋体" w:eastAsia="宋体"/>
                <w:color w:val="000000"/>
                <w:sz w:val="18"/>
              </w:rPr>
              <w:t>算法目录</w:t>
            </w:r>
          </w:p>
        </w:tc>
        <w:tc>
          <w:tcPr>
            <w:tcW w:type="dxa" w:w="3343"/>
          </w:tcPr>
          <w:p>
            <w:r/>
            <w:r>
              <w:rPr>
                <w:rFonts w:ascii="宋体" w:hAnsi="宋体" w:eastAsia="宋体"/>
                <w:color w:val="000000"/>
                <w:sz w:val="18"/>
              </w:rPr>
              <w:t>按类型、成熟度和安全位数筛选目录项</w:t>
            </w:r>
          </w:p>
        </w:tc>
      </w:tr>
      <w:tr>
        <w:tc>
          <w:tcPr>
            <w:tcW w:type="dxa" w:w="3343"/>
          </w:tcPr>
          <w:p>
            <w:r/>
            <w:r>
              <w:rPr>
                <w:rFonts w:ascii="宋体" w:hAnsi="宋体" w:eastAsia="宋体"/>
                <w:color w:val="000000"/>
                <w:sz w:val="18"/>
              </w:rPr>
              <w:t>/api/report</w:t>
            </w:r>
          </w:p>
        </w:tc>
        <w:tc>
          <w:tcPr>
            <w:tcW w:type="dxa" w:w="3343"/>
          </w:tcPr>
          <w:p>
            <w:r/>
            <w:r>
              <w:rPr>
                <w:rFonts w:ascii="宋体" w:hAnsi="宋体" w:eastAsia="宋体"/>
                <w:color w:val="000000"/>
                <w:sz w:val="18"/>
              </w:rPr>
              <w:t>综合报告</w:t>
            </w:r>
          </w:p>
        </w:tc>
        <w:tc>
          <w:tcPr>
            <w:tcW w:type="dxa" w:w="3343"/>
          </w:tcPr>
          <w:p>
            <w:r/>
            <w:r>
              <w:rPr>
                <w:rFonts w:ascii="宋体" w:hAnsi="宋体" w:eastAsia="宋体"/>
                <w:color w:val="000000"/>
                <w:sz w:val="18"/>
              </w:rPr>
              <w:t>整合策略、QCH、DLHP和生产边界提示</w:t>
            </w:r>
          </w:p>
        </w:tc>
      </w:tr>
      <w:tr>
        <w:tc>
          <w:tcPr>
            <w:tcW w:type="dxa" w:w="3343"/>
          </w:tcPr>
          <w:p>
            <w:r/>
            <w:r>
              <w:rPr>
                <w:rFonts w:ascii="宋体" w:hAnsi="宋体" w:eastAsia="宋体"/>
                <w:color w:val="000000"/>
                <w:sz w:val="18"/>
              </w:rPr>
              <w:t>/api/matrix</w:t>
            </w:r>
          </w:p>
        </w:tc>
        <w:tc>
          <w:tcPr>
            <w:tcW w:type="dxa" w:w="3343"/>
          </w:tcPr>
          <w:p>
            <w:r/>
            <w:r>
              <w:rPr>
                <w:rFonts w:ascii="宋体" w:hAnsi="宋体" w:eastAsia="宋体"/>
                <w:color w:val="000000"/>
                <w:sz w:val="18"/>
              </w:rPr>
              <w:t>多画像矩阵</w:t>
            </w:r>
          </w:p>
        </w:tc>
        <w:tc>
          <w:tcPr>
            <w:tcW w:type="dxa" w:w="3343"/>
          </w:tcPr>
          <w:p>
            <w:r/>
            <w:r>
              <w:rPr>
                <w:rFonts w:ascii="宋体" w:hAnsi="宋体" w:eastAsia="宋体"/>
                <w:color w:val="000000"/>
                <w:sz w:val="18"/>
              </w:rPr>
              <w:t>比较多个画像的安全、带宽和多样性</w:t>
            </w:r>
          </w:p>
        </w:tc>
      </w:tr>
    </w:tbl>
    <w:p/>
    <w:p>
      <w:pPr>
        <w:pStyle w:val="Heading2"/>
        <w:spacing w:before="160" w:after="120"/>
      </w:pPr>
      <w:r/>
      <w:r>
        <w:rPr>
          <w:rFonts w:ascii="宋体" w:hAnsi="宋体" w:eastAsia="宋体"/>
          <w:b/>
          <w:color w:val="000000"/>
          <w:sz w:val="26"/>
        </w:rPr>
        <w:t>5.4 数据校验</w:t>
      </w:r>
    </w:p>
    <w:p>
      <w:pPr>
        <w:pStyle w:val="BodyText"/>
        <w:spacing w:line="360" w:lineRule="auto" w:after="120"/>
        <w:ind w:firstLine="420"/>
      </w:pPr>
      <w:r/>
      <w:r>
        <w:rPr>
          <w:rFonts w:ascii="宋体" w:hAnsi="宋体" w:eastAsia="宋体"/>
          <w:b w:val="0"/>
          <w:color w:val="000000"/>
          <w:sz w:val="21"/>
        </w:rPr>
        <w:t>validation.py负责对概率、非负整数、非负浮点数和profile列表进行统一校验。非法参数会被拒绝，不会继续生成误导性演示结果。该层的存在可以避免CLI、GUI和报告模块各自实现不同的判断规则。</w:t>
      </w:r>
    </w:p>
    <w:p>
      <w:pPr>
        <w:pStyle w:val="BodyText"/>
        <w:spacing w:line="360" w:lineRule="auto" w:after="120"/>
        <w:ind w:firstLine="420"/>
      </w:pPr>
      <w:r/>
      <w:r>
        <w:rPr>
          <w:rFonts w:ascii="宋体" w:hAnsi="宋体" w:eastAsia="宋体"/>
          <w:b w:val="0"/>
          <w:color w:val="000000"/>
          <w:sz w:val="21"/>
        </w:rPr>
        <w:t>QBER必须位于0到1之间，计数类参数不得为负数，部署画像必须来自软件定义的画像集合。若用户输入非法，CLI会返回非零退出码并在标准错误中写出原因，GUI会返回包含error字段的JSON对象。测试用例覆盖了这些错误路径。</w:t>
      </w:r>
    </w:p>
    <w:p>
      <w:pPr>
        <w:pStyle w:val="BodyText"/>
        <w:spacing w:line="360" w:lineRule="auto" w:after="120"/>
        <w:ind w:firstLine="420"/>
      </w:pPr>
      <w:r/>
      <w:r>
        <w:rPr>
          <w:rFonts w:ascii="宋体" w:hAnsi="宋体" w:eastAsia="宋体"/>
          <w:b w:val="0"/>
          <w:color w:val="000000"/>
          <w:sz w:val="21"/>
        </w:rPr>
        <w:t>数据校验的另一个作用是保护报告可信度。比如schedule_count为负数时，如果继续生成调度，会让矩阵比较结果失真；profile名称拼写错误时，如果静默使用默认值，会让评估人员误判软件策略。因此软件选择在入口层明确拒绝错误输入。</w:t>
      </w:r>
    </w:p>
    <w:p>
      <w:pPr>
        <w:pStyle w:val="Heading1"/>
        <w:spacing w:before="240" w:after="160"/>
      </w:pPr>
      <w:r/>
      <w:r>
        <w:rPr>
          <w:rFonts w:ascii="宋体" w:hAnsi="宋体" w:eastAsia="宋体"/>
          <w:b/>
          <w:color w:val="000000"/>
          <w:sz w:val="32"/>
        </w:rPr>
        <w:t>6、 算法策略设计</w:t>
      </w:r>
    </w:p>
    <w:p>
      <w:pPr>
        <w:pStyle w:val="Heading2"/>
        <w:spacing w:before="160" w:after="120"/>
      </w:pPr>
      <w:r/>
      <w:r>
        <w:rPr>
          <w:rFonts w:ascii="宋体" w:hAnsi="宋体" w:eastAsia="宋体"/>
          <w:b/>
          <w:color w:val="000000"/>
          <w:sz w:val="26"/>
        </w:rPr>
        <w:t>6.1 部署画像</w:t>
      </w:r>
    </w:p>
    <w:p>
      <w:pPr>
        <w:pStyle w:val="BodyText"/>
        <w:spacing w:line="360" w:lineRule="auto" w:after="120"/>
        <w:ind w:firstLine="420"/>
      </w:pPr>
      <w:r/>
      <w:r>
        <w:rPr>
          <w:rFonts w:ascii="宋体" w:hAnsi="宋体" w:eastAsia="宋体"/>
          <w:b w:val="0"/>
          <w:color w:val="000000"/>
          <w:sz w:val="21"/>
        </w:rPr>
        <w:t>部署画像用于把算法选择和实际使用目标关联起来。balanced画像偏向一般研发演示，high_assurance画像提高安全余量，bandwidth_constrained画像关注密文和公钥尺寸，long_term_archive画像强调长期安全储备，experimental_diversity画像用于观察更丰富的硬问题类别组合。</w:t>
      </w:r>
    </w:p>
    <w:p>
      <w:pPr>
        <w:pStyle w:val="BodyText"/>
        <w:spacing w:line="360" w:lineRule="auto" w:after="120"/>
        <w:ind w:firstLine="420"/>
      </w:pPr>
      <w:r/>
      <w:r>
        <w:rPr>
          <w:rFonts w:ascii="宋体" w:hAnsi="宋体" w:eastAsia="宋体"/>
          <w:b w:val="0"/>
          <w:color w:val="000000"/>
          <w:sz w:val="21"/>
        </w:rPr>
        <w:t>每个画像都包含目标安全位数、主KEM偏好、签名算法偏好、DLHP允许轮换集合以及QCH控制参数。这样的设计避免把所有场景压成一个固定推荐结果，也使评审人员能够看到软件如何根据不同约束产生不同输出。</w:t>
      </w:r>
    </w:p>
    <w:p>
      <w:pPr>
        <w:pStyle w:val="BodyText"/>
        <w:spacing w:line="360" w:lineRule="auto" w:after="120"/>
        <w:ind w:firstLine="420"/>
      </w:pPr>
      <w:r/>
      <w:r>
        <w:rPr>
          <w:rFonts w:ascii="宋体" w:hAnsi="宋体" w:eastAsia="宋体"/>
          <w:b w:val="0"/>
          <w:color w:val="000000"/>
          <w:sz w:val="21"/>
        </w:rPr>
        <w:t>画像不是不可变的安全结论，而是软件内部的策略配置。后续如需适配行业专网、低带宽终端或长期归档系统，可在DeploymentProfile和对应策略表中增加新的画像，并同步补充测试用例和说明文档。</w:t>
      </w:r>
    </w:p>
    <w:p>
      <w:pPr>
        <w:pStyle w:val="Heading2"/>
        <w:spacing w:before="160" w:after="120"/>
      </w:pPr>
      <w:r/>
      <w:r>
        <w:rPr>
          <w:rFonts w:ascii="宋体" w:hAnsi="宋体" w:eastAsia="宋体"/>
          <w:b/>
          <w:color w:val="000000"/>
          <w:sz w:val="26"/>
        </w:rPr>
        <w:t>6.2 推荐规则</w:t>
      </w:r>
    </w:p>
    <w:p>
      <w:pPr>
        <w:pStyle w:val="BodyText"/>
        <w:spacing w:line="360" w:lineRule="auto" w:after="120"/>
        <w:ind w:firstLine="420"/>
      </w:pPr>
      <w:r/>
      <w:r>
        <w:rPr>
          <w:rFonts w:ascii="宋体" w:hAnsi="宋体" w:eastAsia="宋体"/>
          <w:b w:val="0"/>
          <w:color w:val="000000"/>
          <w:sz w:val="21"/>
        </w:rPr>
        <w:t>推荐规则首先根据画像确定目标安全强度，再从算法目录中筛选成熟度、类别和尺寸符合要求的候选项。KEM推荐关注安全位数、标准化状态和密文尺寸；签名推荐关注签名尺寸、验证成本和标准状态；DLHP轮换推荐关注硬问题类别的多样性。</w:t>
      </w:r>
    </w:p>
    <w:p>
      <w:pPr>
        <w:pStyle w:val="BodyText"/>
        <w:spacing w:line="360" w:lineRule="auto" w:after="120"/>
        <w:ind w:firstLine="420"/>
      </w:pPr>
      <w:r/>
      <w:r>
        <w:rPr>
          <w:rFonts w:ascii="宋体" w:hAnsi="宋体" w:eastAsia="宋体"/>
          <w:b w:val="0"/>
          <w:color w:val="000000"/>
          <w:sz w:val="21"/>
        </w:rPr>
        <w:t>对于长期归档画像，软件优先选择更高安全余量和更保守的组合；对于带宽受限画像，软件会降低对高带宽参数的偏好；对于实验多样性画像，软件允许更多候选类别参与轮换，但仍在报告中提示实验性组件的生产限制。</w:t>
      </w:r>
    </w:p>
    <w:p>
      <w:pPr>
        <w:pStyle w:val="BodyText"/>
        <w:spacing w:line="360" w:lineRule="auto" w:after="120"/>
        <w:ind w:firstLine="420"/>
      </w:pPr>
      <w:r/>
      <w:r>
        <w:rPr>
          <w:rFonts w:ascii="宋体" w:hAnsi="宋体" w:eastAsia="宋体"/>
          <w:b w:val="0"/>
          <w:color w:val="000000"/>
          <w:sz w:val="21"/>
        </w:rPr>
        <w:t>推荐结果包含主选项和备选项。主选项用于默认演示路径，备选项用于展示替换空间和策略弹性。报告模块不会删除生产边界提示，即使推荐结果看起来完整，也会明确说明当前适配器仍是演示实现。</w:t>
      </w:r>
    </w:p>
    <w:p>
      <w:pPr>
        <w:pStyle w:val="Heading2"/>
        <w:spacing w:before="160" w:after="120"/>
      </w:pPr>
      <w:r/>
      <w:r>
        <w:rPr>
          <w:rFonts w:ascii="宋体" w:hAnsi="宋体" w:eastAsia="宋体"/>
          <w:b/>
          <w:color w:val="000000"/>
          <w:sz w:val="26"/>
        </w:rPr>
        <w:t>6.3 矩阵评分</w:t>
      </w:r>
    </w:p>
    <w:p>
      <w:pPr>
        <w:pStyle w:val="BodyText"/>
        <w:spacing w:line="360" w:lineRule="auto" w:after="120"/>
        <w:ind w:firstLine="420"/>
      </w:pPr>
      <w:r/>
      <w:r>
        <w:rPr>
          <w:rFonts w:ascii="宋体" w:hAnsi="宋体" w:eastAsia="宋体"/>
          <w:b w:val="0"/>
          <w:color w:val="000000"/>
          <w:sz w:val="21"/>
        </w:rPr>
        <w:t>矩阵评分用于在多个部署画像之间进行横向比较。每一行记录画像名称、QCH参数档、主KEM、带宽估计、DLHP轮换规模、熵估计、正交性违规数量和综合分。综合分不是密码学证明，而是帮助用户快速理解不同配置取舍的工程指标。</w:t>
      </w:r>
    </w:p>
    <w:p>
      <w:pPr>
        <w:pStyle w:val="BodyText"/>
        <w:spacing w:line="360" w:lineRule="auto" w:after="120"/>
        <w:ind w:firstLine="420"/>
      </w:pPr>
      <w:r/>
      <w:r>
        <w:rPr>
          <w:rFonts w:ascii="宋体" w:hAnsi="宋体" w:eastAsia="宋体"/>
          <w:b w:val="0"/>
          <w:color w:val="000000"/>
          <w:sz w:val="21"/>
        </w:rPr>
        <w:t>评分模型允许调整安全、带宽、多样性和轮换权重。安全优先时，高安全参数档和更丰富的轮换集合得分更高；链路优先时，较低带宽成本会获得更高排序。GUI Overview面板默认展示矩阵，方便用户直接比较多个画像。</w:t>
      </w:r>
    </w:p>
    <w:p>
      <w:pPr>
        <w:pStyle w:val="BodyText"/>
        <w:spacing w:line="360" w:lineRule="auto" w:after="120"/>
        <w:ind w:firstLine="420"/>
      </w:pPr>
      <w:r/>
      <w:r>
        <w:rPr>
          <w:rFonts w:ascii="宋体" w:hAnsi="宋体" w:eastAsia="宋体"/>
          <w:b w:val="0"/>
          <w:color w:val="000000"/>
          <w:sz w:val="21"/>
        </w:rPr>
        <w:t>矩阵结果保留输入画像顺序和排序后结果两类信息。profiles字段保留用户输入顺序，rows字段按推荐顺序返回，recommended字段标记当前综合推荐画像。这样既能追溯用户输入，也能支持页面表格突出展示推荐行。</w:t>
      </w:r>
    </w:p>
    <w:p>
      <w:pPr>
        <w:pStyle w:val="Heading1"/>
        <w:spacing w:before="240" w:after="160"/>
      </w:pPr>
      <w:r/>
      <w:r>
        <w:rPr>
          <w:rFonts w:ascii="宋体" w:hAnsi="宋体" w:eastAsia="宋体"/>
          <w:b/>
          <w:color w:val="000000"/>
          <w:sz w:val="32"/>
        </w:rPr>
        <w:t>7、 测试与验收说明</w:t>
      </w:r>
    </w:p>
    <w:p>
      <w:pPr>
        <w:pStyle w:val="Heading2"/>
        <w:spacing w:before="160" w:after="120"/>
      </w:pPr>
      <w:r/>
      <w:r>
        <w:rPr>
          <w:rFonts w:ascii="宋体" w:hAnsi="宋体" w:eastAsia="宋体"/>
          <w:b/>
          <w:color w:val="000000"/>
          <w:sz w:val="26"/>
        </w:rPr>
        <w:t>7.1 单元测试</w:t>
      </w:r>
    </w:p>
    <w:p>
      <w:pPr>
        <w:pStyle w:val="BodyText"/>
        <w:spacing w:line="360" w:lineRule="auto" w:after="120"/>
        <w:ind w:firstLine="420"/>
      </w:pPr>
      <w:r/>
      <w:r>
        <w:rPr>
          <w:rFonts w:ascii="宋体" w:hAnsi="宋体" w:eastAsia="宋体"/>
          <w:b w:val="0"/>
          <w:color w:val="000000"/>
          <w:sz w:val="21"/>
        </w:rPr>
        <w:t>测试体系以pytest为主，覆盖QCH状态切换、DLHP调度、阈值恢复、认证失败、重放拒绝、策略推荐、算法目录、报告结构和GUI API。单元测试使用确定性输入，避免随机结果导致验收不稳定。</w:t>
      </w:r>
    </w:p>
    <w:p>
      <w:pPr>
        <w:pStyle w:val="BodyText"/>
        <w:spacing w:line="360" w:lineRule="auto" w:after="120"/>
        <w:ind w:firstLine="420"/>
      </w:pPr>
      <w:r/>
      <w:r>
        <w:rPr>
          <w:rFonts w:ascii="宋体" w:hAnsi="宋体" w:eastAsia="宋体"/>
          <w:b w:val="0"/>
          <w:color w:val="000000"/>
          <w:sz w:val="21"/>
        </w:rPr>
        <w:t>QCH测试重点检查状态机是否按QKD材料和QBER变化切换，确认默认输出不泄露会话密钥，并验证审计事件中能够说明降级或回退原因。DLHP测试重点检查相邻硬问题类别约束、阈值不足时不能恢复、认证tag被篡改时拒绝打开。</w:t>
      </w:r>
    </w:p>
    <w:p>
      <w:pPr>
        <w:pStyle w:val="BodyText"/>
        <w:spacing w:line="360" w:lineRule="auto" w:after="120"/>
        <w:ind w:firstLine="420"/>
      </w:pPr>
      <w:r/>
      <w:r>
        <w:rPr>
          <w:rFonts w:ascii="宋体" w:hAnsi="宋体" w:eastAsia="宋体"/>
          <w:b w:val="0"/>
          <w:color w:val="000000"/>
          <w:sz w:val="21"/>
        </w:rPr>
        <w:t>策略和报告测试检查不同部署画像下的主备算法、轮换集合、矩阵排序和生产边界提示。只要新增算法目录项或修改画像规则，就必须同步补测试，避免报告输出和策略层含义脱节。</w:t>
      </w:r>
    </w:p>
    <w:p>
      <w:pPr>
        <w:pStyle w:val="Heading2"/>
        <w:spacing w:before="160" w:after="120"/>
      </w:pPr>
      <w:r/>
      <w:r>
        <w:rPr>
          <w:rFonts w:ascii="宋体" w:hAnsi="宋体" w:eastAsia="宋体"/>
          <w:b/>
          <w:color w:val="000000"/>
          <w:sz w:val="26"/>
        </w:rPr>
        <w:t>7.2 接口测试</w:t>
      </w:r>
    </w:p>
    <w:p>
      <w:pPr>
        <w:pStyle w:val="BodyText"/>
        <w:spacing w:line="360" w:lineRule="auto" w:after="120"/>
        <w:ind w:firstLine="420"/>
      </w:pPr>
      <w:r/>
      <w:r>
        <w:rPr>
          <w:rFonts w:ascii="宋体" w:hAnsi="宋体" w:eastAsia="宋体"/>
          <w:b w:val="0"/>
          <w:color w:val="000000"/>
          <w:sz w:val="21"/>
        </w:rPr>
        <w:t>接口测试覆盖命令行和本地HTTP API两类入口。CLI测试通过子命令调用核心功能，确认正常结果为合法JSON，错误路径返回非零退出码。GUI API测试直接调用处理函数或本地服务端点，确认成功响应和错误响应结构一致。</w:t>
      </w:r>
    </w:p>
    <w:p>
      <w:pPr>
        <w:pStyle w:val="BodyText"/>
        <w:spacing w:line="360" w:lineRule="auto" w:after="120"/>
        <w:ind w:firstLine="420"/>
      </w:pPr>
      <w:r/>
      <w:r>
        <w:rPr>
          <w:rFonts w:ascii="宋体" w:hAnsi="宋体" w:eastAsia="宋体"/>
          <w:b w:val="0"/>
          <w:color w:val="000000"/>
          <w:sz w:val="21"/>
        </w:rPr>
        <w:t>接口验收关注字段稳定性。比如qch-demo必须持续输出pqc_profile和state，report必须持续输出summary和production_ready提示，matrix必须持续输出rows和rank。字段稳定后，外部脚本、演示材料和后续系统集成都可以依赖这些结构。</w:t>
      </w:r>
    </w:p>
    <w:p>
      <w:pPr>
        <w:pStyle w:val="BodyText"/>
        <w:spacing w:line="360" w:lineRule="auto" w:after="120"/>
        <w:ind w:firstLine="420"/>
      </w:pPr>
      <w:r/>
      <w:r>
        <w:rPr>
          <w:rFonts w:ascii="宋体" w:hAnsi="宋体" w:eastAsia="宋体"/>
          <w:b w:val="0"/>
          <w:color w:val="000000"/>
          <w:sz w:val="21"/>
        </w:rPr>
        <w:t>错误接口同样纳入验收。QBER越界、负数计数、未知部署画像和非法JSON请求都应返回明确错误，而不是空结果或看似成功的默认值。这样能够减少演示过程中出现难以解释的输出。</w:t>
      </w:r>
    </w:p>
    <w:p>
      <w:pPr>
        <w:pStyle w:val="Heading2"/>
        <w:spacing w:before="160" w:after="120"/>
      </w:pPr>
      <w:r/>
      <w:r>
        <w:rPr>
          <w:rFonts w:ascii="宋体" w:hAnsi="宋体" w:eastAsia="宋体"/>
          <w:b/>
          <w:color w:val="000000"/>
          <w:sz w:val="26"/>
        </w:rPr>
        <w:t>7.3 GUI测试</w:t>
      </w:r>
    </w:p>
    <w:p>
      <w:pPr>
        <w:pStyle w:val="BodyText"/>
        <w:spacing w:line="360" w:lineRule="auto" w:after="120"/>
        <w:ind w:firstLine="420"/>
      </w:pPr>
      <w:r/>
      <w:r>
        <w:rPr>
          <w:rFonts w:ascii="宋体" w:hAnsi="宋体" w:eastAsia="宋体"/>
          <w:b w:val="0"/>
          <w:color w:val="000000"/>
          <w:sz w:val="21"/>
        </w:rPr>
        <w:t>GUI测试使用Playwright覆盖桌面交互和移动端布局。桌面测试依次切换QCH、DLHP、Catalog和Report面板，点击主要按钮并检查结果区是否包含预期字段，同时收集浏览器控制台错误。移动端测试检查页面宽度，确认没有横向溢出。</w:t>
      </w:r>
    </w:p>
    <w:p>
      <w:pPr>
        <w:pStyle w:val="BodyText"/>
        <w:spacing w:line="360" w:lineRule="auto" w:after="120"/>
        <w:ind w:firstLine="420"/>
      </w:pPr>
      <w:r/>
      <w:r>
        <w:rPr>
          <w:rFonts w:ascii="宋体" w:hAnsi="宋体" w:eastAsia="宋体"/>
          <w:b w:val="0"/>
          <w:color w:val="000000"/>
          <w:sz w:val="21"/>
        </w:rPr>
        <w:t>GUI测试曾暴露前端脚本中运算符混用导致导航不可切换的问题。该问题已经修复，测试也改为按真实DOM结构定位面板和按钮，避免只依赖易变的按钮文案。这个案例说明浏览器回归测试不是装饰项，而是交付质量的一部分。</w:t>
      </w:r>
    </w:p>
    <w:p>
      <w:pPr>
        <w:pStyle w:val="BodyText"/>
        <w:spacing w:line="360" w:lineRule="auto" w:after="120"/>
        <w:ind w:firstLine="420"/>
      </w:pPr>
      <w:r/>
      <w:r>
        <w:rPr>
          <w:rFonts w:ascii="宋体" w:hAnsi="宋体" w:eastAsia="宋体"/>
          <w:b w:val="0"/>
          <w:color w:val="000000"/>
          <w:sz w:val="21"/>
        </w:rPr>
        <w:t>图形界面不保存用户输入的长期记录，也不把结果发送到外部网络。复制和下载功能仅在本地浏览器中处理当前JSON结果，适合研发人员把一次演示结果保存为报告附件或测试证据。</w:t>
      </w:r>
    </w:p>
    <w:p>
      <w:pPr>
        <w:pStyle w:val="Heading1"/>
        <w:spacing w:before="240" w:after="160"/>
      </w:pPr>
      <w:r/>
      <w:r>
        <w:rPr>
          <w:rFonts w:ascii="宋体" w:hAnsi="宋体" w:eastAsia="宋体"/>
          <w:b/>
          <w:color w:val="000000"/>
          <w:sz w:val="32"/>
        </w:rPr>
        <w:t>8、 安全边界与生产替换</w:t>
      </w:r>
    </w:p>
    <w:p>
      <w:pPr>
        <w:pStyle w:val="Heading2"/>
        <w:spacing w:before="160" w:after="120"/>
      </w:pPr>
      <w:r/>
      <w:r>
        <w:rPr>
          <w:rFonts w:ascii="宋体" w:hAnsi="宋体" w:eastAsia="宋体"/>
          <w:b/>
          <w:color w:val="000000"/>
          <w:sz w:val="26"/>
        </w:rPr>
        <w:t>8.1 演示边界</w:t>
      </w:r>
    </w:p>
    <w:p>
      <w:pPr>
        <w:pStyle w:val="BodyText"/>
        <w:spacing w:line="360" w:lineRule="auto" w:after="120"/>
        <w:ind w:firstLine="420"/>
      </w:pPr>
      <w:r/>
      <w:r>
        <w:rPr>
          <w:rFonts w:ascii="宋体" w:hAnsi="宋体" w:eastAsia="宋体"/>
          <w:b w:val="0"/>
          <w:color w:val="000000"/>
          <w:sz w:val="21"/>
        </w:rPr>
        <w:t>本软件当前用于协议验证、流程演示、接口打样和材料复核。DemoMLKEMAdapter只保持KEM接口形状和长度，不是FIPS 203生产实现；QKDKeyBuffer只模拟QKD密钥材料，不连接真实QKD设备；DLHP保护器当前为演示流保护结构。</w:t>
      </w:r>
    </w:p>
    <w:p>
      <w:pPr>
        <w:pStyle w:val="BodyText"/>
        <w:spacing w:line="360" w:lineRule="auto" w:after="120"/>
        <w:ind w:firstLine="420"/>
      </w:pPr>
      <w:r/>
      <w:r>
        <w:rPr>
          <w:rFonts w:ascii="宋体" w:hAnsi="宋体" w:eastAsia="宋体"/>
          <w:b w:val="0"/>
          <w:color w:val="000000"/>
          <w:sz w:val="21"/>
        </w:rPr>
        <w:t>演示边界在报告中被明确保留。软件不会把模拟密钥池、演示KEM或简化保护器描述为经认证的生产密码组件。这样写既符合真实工程状态，也避免使用者在没有安全评估的情况下把演示代码直接部署到生产环境。</w:t>
      </w:r>
    </w:p>
    <w:p>
      <w:pPr>
        <w:pStyle w:val="BodyText"/>
        <w:spacing w:line="360" w:lineRule="auto" w:after="120"/>
        <w:ind w:firstLine="420"/>
      </w:pPr>
      <w:r/>
      <w:r>
        <w:rPr>
          <w:rFonts w:ascii="宋体" w:hAnsi="宋体" w:eastAsia="宋体"/>
          <w:b w:val="0"/>
          <w:color w:val="000000"/>
          <w:sz w:val="21"/>
        </w:rPr>
        <w:t>默认命令不会输出会话密钥，只有显式调试参数才允许展示。即便如此，调试输出也只适用于本地验证，不应进入公开日志、截图或对外材料。后续若接入真实密码库，还需要增加密钥擦除和敏感字段脱敏机制。</w:t>
      </w:r>
    </w:p>
    <w:p>
      <w:pPr>
        <w:pStyle w:val="Heading2"/>
        <w:spacing w:before="160" w:after="120"/>
      </w:pPr>
      <w:r/>
      <w:r>
        <w:rPr>
          <w:rFonts w:ascii="宋体" w:hAnsi="宋体" w:eastAsia="宋体"/>
          <w:b/>
          <w:color w:val="000000"/>
          <w:sz w:val="26"/>
        </w:rPr>
        <w:t>8.2 生产替换</w:t>
      </w:r>
    </w:p>
    <w:p>
      <w:pPr>
        <w:pStyle w:val="BodyText"/>
        <w:spacing w:line="360" w:lineRule="auto" w:after="120"/>
        <w:ind w:firstLine="420"/>
      </w:pPr>
      <w:r/>
      <w:r>
        <w:rPr>
          <w:rFonts w:ascii="宋体" w:hAnsi="宋体" w:eastAsia="宋体"/>
          <w:b w:val="0"/>
          <w:color w:val="000000"/>
          <w:sz w:val="21"/>
        </w:rPr>
        <w:t>生产版本应替换经审计的KEM实现、签名实现、认证加密组件、真实QKD设备接口和密钥管理系统。替换时应保持软件现有的适配器边界，让上层CLI、GUI、报告和测试尽量不受底层实现变化影响。</w:t>
      </w:r>
    </w:p>
    <w:p>
      <w:pPr>
        <w:pStyle w:val="BodyText"/>
        <w:spacing w:line="360" w:lineRule="auto" w:after="120"/>
        <w:ind w:firstLine="420"/>
      </w:pPr>
      <w:r/>
      <w:r>
        <w:rPr>
          <w:rFonts w:ascii="宋体" w:hAnsi="宋体" w:eastAsia="宋体"/>
          <w:b w:val="0"/>
          <w:color w:val="000000"/>
          <w:sz w:val="21"/>
        </w:rPr>
        <w:t>ML-KEM应接入符合FIPS 203的实现，签名算法应接入符合FIPS 204或FIPS 205的实现，DLHP受保护单元应使用标准认证加密组件保护。QKD接口应从真实设备或密钥管理系统读取材料，并记录设备状态、密钥来源和错误码。</w:t>
      </w:r>
    </w:p>
    <w:p>
      <w:pPr>
        <w:pStyle w:val="BodyText"/>
        <w:spacing w:line="360" w:lineRule="auto" w:after="120"/>
        <w:ind w:firstLine="420"/>
      </w:pPr>
      <w:r/>
      <w:r>
        <w:rPr>
          <w:rFonts w:ascii="宋体" w:hAnsi="宋体" w:eastAsia="宋体"/>
          <w:b w:val="0"/>
          <w:color w:val="000000"/>
          <w:sz w:val="21"/>
        </w:rPr>
        <w:t>生产替换完成后不能只做功能冒烟测试，还应补充兼容性测试、异常设备状态测试、密钥生命周期测试、错误恢复测试和审计日志测试。说明文档也应同步标明生产组件版本和评估结论。</w:t>
      </w:r>
    </w:p>
    <w:p>
      <w:pPr>
        <w:pStyle w:val="Heading2"/>
        <w:spacing w:before="160" w:after="120"/>
      </w:pPr>
      <w:r/>
      <w:r>
        <w:rPr>
          <w:rFonts w:ascii="宋体" w:hAnsi="宋体" w:eastAsia="宋体"/>
          <w:b/>
          <w:color w:val="000000"/>
          <w:sz w:val="26"/>
        </w:rPr>
        <w:t>8.3 审计要求</w:t>
      </w:r>
    </w:p>
    <w:p>
      <w:pPr>
        <w:pStyle w:val="BodyText"/>
        <w:spacing w:line="360" w:lineRule="auto" w:after="120"/>
        <w:ind w:firstLine="420"/>
      </w:pPr>
      <w:r/>
      <w:r>
        <w:rPr>
          <w:rFonts w:ascii="宋体" w:hAnsi="宋体" w:eastAsia="宋体"/>
          <w:b w:val="0"/>
          <w:color w:val="000000"/>
          <w:sz w:val="21"/>
        </w:rPr>
        <w:t>审计数据应解释状态变化而不是只给出最终结果。QCH审计事件需要记录QKD材料不足、QBER过高、回退触发和恢复判断；DLHP审计需要记录SeqID、算法类别、重放拒绝和认证失败原因；报告审计需要记录生产边界提示。</w:t>
      </w:r>
    </w:p>
    <w:p>
      <w:pPr>
        <w:pStyle w:val="BodyText"/>
        <w:spacing w:line="360" w:lineRule="auto" w:after="120"/>
        <w:ind w:firstLine="420"/>
      </w:pPr>
      <w:r/>
      <w:r>
        <w:rPr>
          <w:rFonts w:ascii="宋体" w:hAnsi="宋体" w:eastAsia="宋体"/>
          <w:b w:val="0"/>
          <w:color w:val="000000"/>
          <w:sz w:val="21"/>
        </w:rPr>
        <w:t>日志不应长期保存主密钥、会话密钥、阈值秘密或未脱敏负载。演示过程中需要保存结果时，应优先保存状态、参数档、算法名称、统计值和错误码。涉及敏感字段的调试材料应在提交前人工检查。</w:t>
      </w:r>
    </w:p>
    <w:p>
      <w:pPr>
        <w:pStyle w:val="BodyText"/>
        <w:spacing w:line="360" w:lineRule="auto" w:after="120"/>
        <w:ind w:firstLine="420"/>
      </w:pPr>
      <w:r/>
      <w:r>
        <w:rPr>
          <w:rFonts w:ascii="宋体" w:hAnsi="宋体" w:eastAsia="宋体"/>
          <w:b w:val="0"/>
          <w:color w:val="000000"/>
          <w:sz w:val="21"/>
        </w:rPr>
        <w:t>审计输出还要保持可读性。字段名称应与文档说明一致，错误信息应能指导用户修正输入或定位模块，而不是只抛出底层异常文本。当前CLI、GUI和测试均围绕这一原则组织错误路径。</w:t>
      </w:r>
    </w:p>
    <w:p>
      <w:pPr>
        <w:pStyle w:val="Heading1"/>
        <w:spacing w:before="240" w:after="160"/>
      </w:pPr>
      <w:r/>
      <w:r>
        <w:rPr>
          <w:rFonts w:ascii="宋体" w:hAnsi="宋体" w:eastAsia="宋体"/>
          <w:b/>
          <w:color w:val="000000"/>
          <w:sz w:val="32"/>
        </w:rPr>
        <w:t>9、 维护与扩展说明</w:t>
      </w:r>
    </w:p>
    <w:p>
      <w:pPr>
        <w:pStyle w:val="Heading2"/>
        <w:spacing w:before="160" w:after="120"/>
      </w:pPr>
      <w:r/>
      <w:r>
        <w:rPr>
          <w:rFonts w:ascii="宋体" w:hAnsi="宋体" w:eastAsia="宋体"/>
          <w:b/>
          <w:color w:val="000000"/>
          <w:sz w:val="26"/>
        </w:rPr>
        <w:t>9.1 新算法扩展</w:t>
      </w:r>
    </w:p>
    <w:p>
      <w:pPr>
        <w:pStyle w:val="BodyText"/>
        <w:spacing w:line="360" w:lineRule="auto" w:after="120"/>
        <w:ind w:firstLine="420"/>
      </w:pPr>
      <w:r/>
      <w:r>
        <w:rPr>
          <w:rFonts w:ascii="宋体" w:hAnsi="宋体" w:eastAsia="宋体"/>
          <w:b w:val="0"/>
          <w:color w:val="000000"/>
          <w:sz w:val="21"/>
        </w:rPr>
        <w:t>新增算法时应先在registry.py中补充AlgorithmDescriptor，包括算法名称、类别、硬问题类别、成熟度、安全位数、密钥尺寸、密文尺寸、签名尺寸和说明标签。目录项不能只写算法名称，否则策略层和报告层无法做有效筛选。</w:t>
      </w:r>
    </w:p>
    <w:p>
      <w:pPr>
        <w:pStyle w:val="BodyText"/>
        <w:spacing w:line="360" w:lineRule="auto" w:after="120"/>
        <w:ind w:firstLine="420"/>
      </w:pPr>
      <w:r/>
      <w:r>
        <w:rPr>
          <w:rFonts w:ascii="宋体" w:hAnsi="宋体" w:eastAsia="宋体"/>
          <w:b w:val="0"/>
          <w:color w:val="000000"/>
          <w:sz w:val="21"/>
        </w:rPr>
        <w:t>算法加入目录后，需要判断是否进入某些部署画像的推荐集合。标准化成熟且参数清晰的算法可以成为主选或备选；实验性算法应只在实验多样性画像或明确标注的研究场景中出现。报告中必须保留成熟度和生产限制。</w:t>
      </w:r>
    </w:p>
    <w:p>
      <w:pPr>
        <w:pStyle w:val="BodyText"/>
        <w:spacing w:line="360" w:lineRule="auto" w:after="120"/>
        <w:ind w:firstLine="420"/>
      </w:pPr>
      <w:r/>
      <w:r>
        <w:rPr>
          <w:rFonts w:ascii="宋体" w:hAnsi="宋体" w:eastAsia="宋体"/>
          <w:b w:val="0"/>
          <w:color w:val="000000"/>
          <w:sz w:val="21"/>
        </w:rPr>
        <w:t>扩展完成后应补充catalog、policy、report和GUI测试。测试不仅要确认新算法能展示，还要确认筛选条件、推荐排序和矩阵摘要没有破坏既有行为。</w:t>
      </w:r>
    </w:p>
    <w:p>
      <w:pPr>
        <w:pStyle w:val="Heading2"/>
        <w:spacing w:before="160" w:after="120"/>
      </w:pPr>
      <w:r/>
      <w:r>
        <w:rPr>
          <w:rFonts w:ascii="宋体" w:hAnsi="宋体" w:eastAsia="宋体"/>
          <w:b/>
          <w:color w:val="000000"/>
          <w:sz w:val="26"/>
        </w:rPr>
        <w:t>9.2 新画像扩展</w:t>
      </w:r>
    </w:p>
    <w:p>
      <w:pPr>
        <w:pStyle w:val="BodyText"/>
        <w:spacing w:line="360" w:lineRule="auto" w:after="120"/>
        <w:ind w:firstLine="420"/>
      </w:pPr>
      <w:r/>
      <w:r>
        <w:rPr>
          <w:rFonts w:ascii="宋体" w:hAnsi="宋体" w:eastAsia="宋体"/>
          <w:b w:val="0"/>
          <w:color w:val="000000"/>
          <w:sz w:val="21"/>
        </w:rPr>
        <w:t>新增部署画像时，应在DeploymentProfile中定义名称，再补充QCH参数调优、主KEM偏好、签名偏好、DLHP轮换集合和矩阵评分权重。画像名称要保持短小稳定，因为CLI、GUI和报告都会直接使用。</w:t>
      </w:r>
    </w:p>
    <w:p>
      <w:pPr>
        <w:pStyle w:val="BodyText"/>
        <w:spacing w:line="360" w:lineRule="auto" w:after="120"/>
        <w:ind w:firstLine="420"/>
      </w:pPr>
      <w:r/>
      <w:r>
        <w:rPr>
          <w:rFonts w:ascii="宋体" w:hAnsi="宋体" w:eastAsia="宋体"/>
          <w:b w:val="0"/>
          <w:color w:val="000000"/>
          <w:sz w:val="21"/>
        </w:rPr>
        <w:t>画像定义要有明确场景含义。比如面向卫星链路的画像可能强调低带宽和高误码容忍，面向长期归档的画像强调安全余量和保守成熟度，面向实验平台的画像强调候选算法多样性。没有场景约束的画像容易造成推荐结果难以解释。</w:t>
      </w:r>
    </w:p>
    <w:p>
      <w:pPr>
        <w:pStyle w:val="BodyText"/>
        <w:spacing w:line="360" w:lineRule="auto" w:after="120"/>
        <w:ind w:firstLine="420"/>
      </w:pPr>
      <w:r/>
      <w:r>
        <w:rPr>
          <w:rFonts w:ascii="宋体" w:hAnsi="宋体" w:eastAsia="宋体"/>
          <w:b w:val="0"/>
          <w:color w:val="000000"/>
          <w:sz w:val="21"/>
        </w:rPr>
        <w:t>新增画像后，需要更新README示例、GUI默认选项、matrix比较集合和测试用例。若画像影响软著说明中的功能边界，也应同步更新本文档，避免文档仍停留在旧功能范围。</w:t>
      </w:r>
    </w:p>
    <w:p>
      <w:pPr>
        <w:pStyle w:val="Heading2"/>
        <w:spacing w:before="160" w:after="120"/>
      </w:pPr>
      <w:r/>
      <w:r>
        <w:rPr>
          <w:rFonts w:ascii="宋体" w:hAnsi="宋体" w:eastAsia="宋体"/>
          <w:b/>
          <w:color w:val="000000"/>
          <w:sz w:val="26"/>
        </w:rPr>
        <w:t>9.3 文档同步</w:t>
      </w:r>
    </w:p>
    <w:p>
      <w:pPr>
        <w:pStyle w:val="BodyText"/>
        <w:spacing w:line="360" w:lineRule="auto" w:after="120"/>
        <w:ind w:firstLine="420"/>
      </w:pPr>
      <w:r/>
      <w:r>
        <w:rPr>
          <w:rFonts w:ascii="宋体" w:hAnsi="宋体" w:eastAsia="宋体"/>
          <w:b w:val="0"/>
          <w:color w:val="000000"/>
          <w:sz w:val="21"/>
        </w:rPr>
        <w:t>软著材料由generate_copyright_application.py生成，正式修改应优先改生成脚本，而不是直接编辑DOCX。这样可以在源码变化、页数变化或主体信息变化时重新生成一致材料，减少人工复制错误。</w:t>
      </w:r>
    </w:p>
    <w:p>
      <w:pPr>
        <w:pStyle w:val="BodyText"/>
        <w:spacing w:line="360" w:lineRule="auto" w:after="120"/>
        <w:ind w:firstLine="420"/>
      </w:pPr>
      <w:r/>
      <w:r>
        <w:rPr>
          <w:rFonts w:ascii="宋体" w:hAnsi="宋体" w:eastAsia="宋体"/>
          <w:b w:val="0"/>
          <w:color w:val="000000"/>
          <w:sz w:val="21"/>
        </w:rPr>
        <w:t>每次重新生成材料后，应同步检查申请表源程序量、说明书页数、源程序页数、README、复核报告和申请材料清单。当前项目源程序量会随测试和GUI代码变化而变化，因此附件1和附件3必须在最终提交前重新生成。</w:t>
      </w:r>
    </w:p>
    <w:p>
      <w:pPr>
        <w:pStyle w:val="BodyText"/>
        <w:spacing w:line="360" w:lineRule="auto" w:after="120"/>
        <w:ind w:firstLine="420"/>
      </w:pPr>
      <w:r/>
      <w:r>
        <w:rPr>
          <w:rFonts w:ascii="宋体" w:hAnsi="宋体" w:eastAsia="宋体"/>
          <w:b w:val="0"/>
          <w:color w:val="000000"/>
          <w:sz w:val="21"/>
        </w:rPr>
        <w:t>文档同步还包括视觉复核。DOCX结构检查只能发现样式、颜色和文本问题，不能完全发现跨页表格、图注位置或页面空白。最终交付前应通过LibreOffice转PDF并查看关键页截图。</w:t>
      </w:r>
    </w:p>
    <w:p>
      <w:pPr>
        <w:pStyle w:val="Heading1"/>
        <w:spacing w:before="240" w:after="160"/>
      </w:pPr>
      <w:r/>
      <w:r>
        <w:rPr>
          <w:rFonts w:ascii="宋体" w:hAnsi="宋体" w:eastAsia="宋体"/>
          <w:b/>
          <w:color w:val="000000"/>
          <w:sz w:val="32"/>
        </w:rPr>
        <w:t>10、 典型场景与故障处理</w:t>
      </w:r>
    </w:p>
    <w:p>
      <w:pPr>
        <w:pStyle w:val="Heading2"/>
        <w:spacing w:before="160" w:after="120"/>
      </w:pPr>
      <w:r/>
      <w:r>
        <w:rPr>
          <w:rFonts w:ascii="宋体" w:hAnsi="宋体" w:eastAsia="宋体"/>
          <w:b/>
          <w:color w:val="000000"/>
          <w:sz w:val="26"/>
        </w:rPr>
        <w:t>10.1 QCH评估场景</w:t>
      </w:r>
    </w:p>
    <w:p>
      <w:pPr>
        <w:pStyle w:val="BodyText"/>
        <w:spacing w:line="360" w:lineRule="auto" w:after="120"/>
        <w:ind w:firstLine="420"/>
      </w:pPr>
      <w:r/>
      <w:r>
        <w:rPr>
          <w:rFonts w:ascii="宋体" w:hAnsi="宋体" w:eastAsia="宋体"/>
          <w:b w:val="0"/>
          <w:color w:val="000000"/>
          <w:sz w:val="21"/>
        </w:rPr>
        <w:t>QCH评估通常从qch-demo开始。用户给定QKD可用字节数、速率和QBER后，软件返回当前状态、选择的PQC参数档、消耗的QKD字节数、带宽估计和审计事件。该结果可用于判断量子链路条件变化对混合握手的影响。</w:t>
      </w:r>
    </w:p>
    <w:p>
      <w:pPr>
        <w:pStyle w:val="BodyText"/>
        <w:spacing w:line="360" w:lineRule="auto" w:after="120"/>
        <w:ind w:firstLine="420"/>
      </w:pPr>
      <w:r/>
      <w:r>
        <w:rPr>
          <w:rFonts w:ascii="宋体" w:hAnsi="宋体" w:eastAsia="宋体"/>
          <w:b w:val="0"/>
          <w:color w:val="000000"/>
          <w:sz w:val="21"/>
        </w:rPr>
        <w:t>如果QKD材料充足且QBER较低，系统应进入正常状态并选择对应参数档；如果QKD材料不足或误码率升高，系统会进入降级或回退状态，并在审计事件中说明原因。评估时应同时观察state和audit_events，而不是只看是否生成了JSON。</w:t>
      </w:r>
    </w:p>
    <w:p>
      <w:pPr>
        <w:pStyle w:val="BodyText"/>
        <w:spacing w:line="360" w:lineRule="auto" w:after="120"/>
        <w:ind w:firstLine="420"/>
      </w:pPr>
      <w:r/>
      <w:r>
        <w:rPr>
          <w:rFonts w:ascii="宋体" w:hAnsi="宋体" w:eastAsia="宋体"/>
          <w:b w:val="0"/>
          <w:color w:val="000000"/>
          <w:sz w:val="21"/>
        </w:rPr>
        <w:t>在GUI中，用户可以切换到QCH-KEM面板填写相同参数。运行后结果区展示完整JSON，摘要区显示关键状态。若需要保存证据，可以使用复制或下载按钮保存当前结果。</w:t>
      </w:r>
    </w:p>
    <w:p>
      <w:pPr>
        <w:pStyle w:val="Heading2"/>
        <w:spacing w:before="160" w:after="120"/>
      </w:pPr>
      <w:r/>
      <w:r>
        <w:rPr>
          <w:rFonts w:ascii="宋体" w:hAnsi="宋体" w:eastAsia="宋体"/>
          <w:b/>
          <w:color w:val="000000"/>
          <w:sz w:val="26"/>
        </w:rPr>
        <w:t>10.2 DLHP保护场景</w:t>
      </w:r>
    </w:p>
    <w:p>
      <w:pPr>
        <w:pStyle w:val="BodyText"/>
        <w:spacing w:line="360" w:lineRule="auto" w:after="120"/>
        <w:ind w:firstLine="420"/>
      </w:pPr>
      <w:r/>
      <w:r>
        <w:rPr>
          <w:rFonts w:ascii="宋体" w:hAnsi="宋体" w:eastAsia="宋体"/>
          <w:b w:val="0"/>
          <w:color w:val="000000"/>
          <w:sz w:val="21"/>
        </w:rPr>
        <w:t>DLHP保护场景通常先生成调度，再验证受保护单元。调度结果用于观察一段SeqID序列内算法和硬问题类别如何变化；受保护单元结果用于检查header、nonce、ciphertext和tag字段是否完整。</w:t>
      </w:r>
    </w:p>
    <w:p>
      <w:pPr>
        <w:pStyle w:val="BodyText"/>
        <w:spacing w:line="360" w:lineRule="auto" w:after="120"/>
        <w:ind w:firstLine="420"/>
      </w:pPr>
      <w:r/>
      <w:r>
        <w:rPr>
          <w:rFonts w:ascii="宋体" w:hAnsi="宋体" w:eastAsia="宋体"/>
          <w:b w:val="0"/>
          <w:color w:val="000000"/>
          <w:sz w:val="21"/>
        </w:rPr>
        <w:t>阈值保护场景中，用户可以使用dlhp-protect演示k/n分片和恢复条件。只有达到阈值数量的分片才能恢复明文，少于阈值或篡改分片应失败。该行为用于说明动态跳频与阈值保护组合后的基本安全边界。</w:t>
      </w:r>
    </w:p>
    <w:p>
      <w:pPr>
        <w:pStyle w:val="BodyText"/>
        <w:spacing w:line="360" w:lineRule="auto" w:after="120"/>
        <w:ind w:firstLine="420"/>
      </w:pPr>
      <w:r/>
      <w:r>
        <w:rPr>
          <w:rFonts w:ascii="宋体" w:hAnsi="宋体" w:eastAsia="宋体"/>
          <w:b w:val="0"/>
          <w:color w:val="000000"/>
          <w:sz w:val="21"/>
        </w:rPr>
        <w:t>诱饵包场景中，generate_chaff_units会生成外形合法但接收端可识别丢弃的单元。该功能用于演示流量混淆思路，不应被解释为完整的匿名通信系统。生产化仍需结合网络层策略、认证加密和流量分析评估。</w:t>
      </w:r>
    </w:p>
    <w:p>
      <w:pPr>
        <w:pStyle w:val="Heading2"/>
        <w:spacing w:before="160" w:after="120"/>
      </w:pPr>
      <w:r/>
      <w:r>
        <w:rPr>
          <w:rFonts w:ascii="宋体" w:hAnsi="宋体" w:eastAsia="宋体"/>
          <w:b/>
          <w:color w:val="000000"/>
          <w:sz w:val="26"/>
        </w:rPr>
        <w:t>10.3 常见故障处理</w:t>
      </w:r>
    </w:p>
    <w:p>
      <w:pPr>
        <w:pStyle w:val="BodyText"/>
        <w:spacing w:line="360" w:lineRule="auto" w:after="120"/>
        <w:ind w:firstLine="420"/>
      </w:pPr>
      <w:r/>
      <w:r>
        <w:rPr>
          <w:rFonts w:ascii="宋体" w:hAnsi="宋体" w:eastAsia="宋体"/>
          <w:b w:val="0"/>
          <w:color w:val="000000"/>
          <w:sz w:val="21"/>
        </w:rPr>
        <w:t>若CLI返回参数错误，应先检查qber是否位于0到1之间，count、qkd-bytes、schedule-count等计数参数是否为非负整数，profile名称是否属于软件支持的部署画像。错误信息会指向具体字段，用户可按字段逐项修正。</w:t>
      </w:r>
    </w:p>
    <w:p>
      <w:pPr>
        <w:pStyle w:val="BodyText"/>
        <w:spacing w:line="360" w:lineRule="auto" w:after="120"/>
        <w:ind w:firstLine="420"/>
      </w:pPr>
      <w:r/>
      <w:r>
        <w:rPr>
          <w:rFonts w:ascii="宋体" w:hAnsi="宋体" w:eastAsia="宋体"/>
          <w:b w:val="0"/>
          <w:color w:val="000000"/>
          <w:sz w:val="21"/>
        </w:rPr>
        <w:t>若GUI页面无法打开，应确认本地服务是否启动、端口是否被占用、浏览器访问地址是否为127.0.0.1:8765。若页面能打开但按钮无反应，应查看浏览器控制台和Playwright测试输出，重点检查前端脚本语法和API响应状态。</w:t>
      </w:r>
    </w:p>
    <w:p>
      <w:pPr>
        <w:pStyle w:val="BodyText"/>
        <w:spacing w:line="360" w:lineRule="auto" w:after="120"/>
        <w:ind w:firstLine="420"/>
      </w:pPr>
      <w:r/>
      <w:r>
        <w:rPr>
          <w:rFonts w:ascii="宋体" w:hAnsi="宋体" w:eastAsia="宋体"/>
          <w:b w:val="0"/>
          <w:color w:val="000000"/>
          <w:sz w:val="21"/>
        </w:rPr>
        <w:t>若报告内容与预期不一致，应先确认当前源码是否已经重新生成软著附件，再检查策略配置和算法目录是否同步。源程序量、说明书页数和清单信息必须在最终提交前保持一致，否则材料之间会出现可见矛盾。</w:t>
      </w:r>
    </w:p>
    <w:p>
      <w:pPr>
        <w:pStyle w:val="Heading1"/>
        <w:spacing w:before="240" w:after="160"/>
      </w:pPr>
      <w:r/>
      <w:r>
        <w:rPr>
          <w:rFonts w:ascii="宋体" w:hAnsi="宋体" w:eastAsia="宋体"/>
          <w:b/>
          <w:color w:val="000000"/>
          <w:sz w:val="32"/>
        </w:rPr>
        <w:t>11、 字段字典与提交检查</w:t>
      </w:r>
    </w:p>
    <w:p>
      <w:pPr>
        <w:pStyle w:val="Heading2"/>
        <w:spacing w:before="160" w:after="120"/>
      </w:pPr>
      <w:r/>
      <w:r>
        <w:rPr>
          <w:rFonts w:ascii="宋体" w:hAnsi="宋体" w:eastAsia="宋体"/>
          <w:b/>
          <w:color w:val="000000"/>
          <w:sz w:val="26"/>
        </w:rPr>
        <w:t>11.1 QCH字段字典</w:t>
      </w:r>
    </w:p>
    <w:p>
      <w:pPr>
        <w:pStyle w:val="BodyText"/>
        <w:spacing w:line="360" w:lineRule="auto" w:after="120"/>
        <w:ind w:firstLine="420"/>
      </w:pPr>
      <w:r/>
      <w:r>
        <w:rPr>
          <w:rFonts w:ascii="宋体" w:hAnsi="宋体" w:eastAsia="宋体"/>
          <w:b w:val="0"/>
          <w:color w:val="000000"/>
          <w:sz w:val="21"/>
        </w:rPr>
        <w:t>QCH字段字典用于解释混合握手结果中最常被使用的字段。字段字典不是代码接口的替代品，而是帮助评审人员和测试人员快速理解JSON输出的含义，避免把演示状态、参数档和安全边界混为一谈。</w:t>
      </w:r>
    </w:p>
    <w:p>
      <w:pPr>
        <w:pStyle w:val="BodyText"/>
        <w:spacing w:line="360" w:lineRule="auto" w:after="120"/>
        <w:ind w:firstLine="420"/>
      </w:pPr>
      <w:r/>
      <w:r>
        <w:rPr>
          <w:rFonts w:ascii="宋体" w:hAnsi="宋体" w:eastAsia="宋体"/>
          <w:b w:val="0"/>
          <w:color w:val="000000"/>
          <w:sz w:val="21"/>
        </w:rPr>
        <w:t>state表示QCH控制器对当前链路的判断，pqc_profile表示选定的后量子参数档，qkd_key_bytes表示本次握手实际消耗的QKD材料，security_margin_bits表示报告层展示的安全裕量估计。audit_events用于解释状态变化，不应被省略。</w:t>
      </w:r>
    </w:p>
    <w:tbl>
      <w:tblPr>
        <w:tblStyle w:val="TableGrid"/>
        <w:tblW w:type="auto" w:w="0"/>
        <w:tblLook w:firstColumn="1" w:firstRow="1" w:lastColumn="0" w:lastRow="0" w:noHBand="0" w:noVBand="1" w:val="04A0"/>
      </w:tblPr>
      <w:tblGrid>
        <w:gridCol w:w="3343"/>
        <w:gridCol w:w="3343"/>
        <w:gridCol w:w="3343"/>
      </w:tblGrid>
      <w:tr>
        <w:tc>
          <w:tcPr>
            <w:tcW w:type="dxa" w:w="3343"/>
          </w:tcPr>
          <w:p>
            <w:r/>
            <w:r>
              <w:rPr>
                <w:rFonts w:ascii="宋体" w:hAnsi="宋体" w:eastAsia="宋体"/>
                <w:color w:val="000000"/>
                <w:sz w:val="18"/>
              </w:rPr>
              <w:t>字段</w:t>
            </w:r>
          </w:p>
        </w:tc>
        <w:tc>
          <w:tcPr>
            <w:tcW w:type="dxa" w:w="3343"/>
          </w:tcPr>
          <w:p>
            <w:r/>
            <w:r>
              <w:rPr>
                <w:rFonts w:ascii="宋体" w:hAnsi="宋体" w:eastAsia="宋体"/>
                <w:color w:val="000000"/>
                <w:sz w:val="18"/>
              </w:rPr>
              <w:t>含义</w:t>
            </w:r>
          </w:p>
        </w:tc>
        <w:tc>
          <w:tcPr>
            <w:tcW w:type="dxa" w:w="3343"/>
          </w:tcPr>
          <w:p>
            <w:r/>
            <w:r>
              <w:rPr>
                <w:rFonts w:ascii="宋体" w:hAnsi="宋体" w:eastAsia="宋体"/>
                <w:color w:val="000000"/>
                <w:sz w:val="18"/>
              </w:rPr>
              <w:t>使用说明</w:t>
            </w:r>
          </w:p>
        </w:tc>
      </w:tr>
      <w:tr>
        <w:tc>
          <w:tcPr>
            <w:tcW w:type="dxa" w:w="3343"/>
          </w:tcPr>
          <w:p>
            <w:r/>
            <w:r>
              <w:rPr>
                <w:rFonts w:ascii="宋体" w:hAnsi="宋体" w:eastAsia="宋体"/>
                <w:color w:val="000000"/>
                <w:sz w:val="18"/>
              </w:rPr>
              <w:t>state</w:t>
            </w:r>
          </w:p>
        </w:tc>
        <w:tc>
          <w:tcPr>
            <w:tcW w:type="dxa" w:w="3343"/>
          </w:tcPr>
          <w:p>
            <w:r/>
            <w:r>
              <w:rPr>
                <w:rFonts w:ascii="宋体" w:hAnsi="宋体" w:eastAsia="宋体"/>
                <w:color w:val="000000"/>
                <w:sz w:val="18"/>
              </w:rPr>
              <w:t>QCH运行状态</w:t>
            </w:r>
          </w:p>
        </w:tc>
        <w:tc>
          <w:tcPr>
            <w:tcW w:type="dxa" w:w="3343"/>
          </w:tcPr>
          <w:p>
            <w:r/>
            <w:r>
              <w:rPr>
                <w:rFonts w:ascii="宋体" w:hAnsi="宋体" w:eastAsia="宋体"/>
                <w:color w:val="000000"/>
                <w:sz w:val="18"/>
              </w:rPr>
              <w:t>NORMAL、DEGRADED、FALLBACK或RECOVERY</w:t>
            </w:r>
          </w:p>
        </w:tc>
      </w:tr>
      <w:tr>
        <w:tc>
          <w:tcPr>
            <w:tcW w:type="dxa" w:w="3343"/>
          </w:tcPr>
          <w:p>
            <w:r/>
            <w:r>
              <w:rPr>
                <w:rFonts w:ascii="宋体" w:hAnsi="宋体" w:eastAsia="宋体"/>
                <w:color w:val="000000"/>
                <w:sz w:val="18"/>
              </w:rPr>
              <w:t>pqc_profile</w:t>
            </w:r>
          </w:p>
        </w:tc>
        <w:tc>
          <w:tcPr>
            <w:tcW w:type="dxa" w:w="3343"/>
          </w:tcPr>
          <w:p>
            <w:r/>
            <w:r>
              <w:rPr>
                <w:rFonts w:ascii="宋体" w:hAnsi="宋体" w:eastAsia="宋体"/>
                <w:color w:val="000000"/>
                <w:sz w:val="18"/>
              </w:rPr>
              <w:t>PQC参数档</w:t>
            </w:r>
          </w:p>
        </w:tc>
        <w:tc>
          <w:tcPr>
            <w:tcW w:type="dxa" w:w="3343"/>
          </w:tcPr>
          <w:p>
            <w:r/>
            <w:r>
              <w:rPr>
                <w:rFonts w:ascii="宋体" w:hAnsi="宋体" w:eastAsia="宋体"/>
                <w:color w:val="000000"/>
                <w:sz w:val="18"/>
              </w:rPr>
              <w:t>对应ML-KEM参数选择和链路状态</w:t>
            </w:r>
          </w:p>
        </w:tc>
      </w:tr>
      <w:tr>
        <w:tc>
          <w:tcPr>
            <w:tcW w:type="dxa" w:w="3343"/>
          </w:tcPr>
          <w:p>
            <w:r/>
            <w:r>
              <w:rPr>
                <w:rFonts w:ascii="宋体" w:hAnsi="宋体" w:eastAsia="宋体"/>
                <w:color w:val="000000"/>
                <w:sz w:val="18"/>
              </w:rPr>
              <w:t>qkd_key_bytes</w:t>
            </w:r>
          </w:p>
        </w:tc>
        <w:tc>
          <w:tcPr>
            <w:tcW w:type="dxa" w:w="3343"/>
          </w:tcPr>
          <w:p>
            <w:r/>
            <w:r>
              <w:rPr>
                <w:rFonts w:ascii="宋体" w:hAnsi="宋体" w:eastAsia="宋体"/>
                <w:color w:val="000000"/>
                <w:sz w:val="18"/>
              </w:rPr>
              <w:t>QKD消耗量</w:t>
            </w:r>
          </w:p>
        </w:tc>
        <w:tc>
          <w:tcPr>
            <w:tcW w:type="dxa" w:w="3343"/>
          </w:tcPr>
          <w:p>
            <w:r/>
            <w:r>
              <w:rPr>
                <w:rFonts w:ascii="宋体" w:hAnsi="宋体" w:eastAsia="宋体"/>
                <w:color w:val="000000"/>
                <w:sz w:val="18"/>
              </w:rPr>
              <w:t>说明本次组合中使用的量子密钥材料</w:t>
            </w:r>
          </w:p>
        </w:tc>
      </w:tr>
      <w:tr>
        <w:tc>
          <w:tcPr>
            <w:tcW w:type="dxa" w:w="3343"/>
          </w:tcPr>
          <w:p>
            <w:r/>
            <w:r>
              <w:rPr>
                <w:rFonts w:ascii="宋体" w:hAnsi="宋体" w:eastAsia="宋体"/>
                <w:color w:val="000000"/>
                <w:sz w:val="18"/>
              </w:rPr>
              <w:t>bandwidth_bytes</w:t>
            </w:r>
          </w:p>
        </w:tc>
        <w:tc>
          <w:tcPr>
            <w:tcW w:type="dxa" w:w="3343"/>
          </w:tcPr>
          <w:p>
            <w:r/>
            <w:r>
              <w:rPr>
                <w:rFonts w:ascii="宋体" w:hAnsi="宋体" w:eastAsia="宋体"/>
                <w:color w:val="000000"/>
                <w:sz w:val="18"/>
              </w:rPr>
              <w:t>带宽估计</w:t>
            </w:r>
          </w:p>
        </w:tc>
        <w:tc>
          <w:tcPr>
            <w:tcW w:type="dxa" w:w="3343"/>
          </w:tcPr>
          <w:p>
            <w:r/>
            <w:r>
              <w:rPr>
                <w:rFonts w:ascii="宋体" w:hAnsi="宋体" w:eastAsia="宋体"/>
                <w:color w:val="000000"/>
                <w:sz w:val="18"/>
              </w:rPr>
              <w:t>用于矩阵比较和部署画像取舍</w:t>
            </w:r>
          </w:p>
        </w:tc>
      </w:tr>
      <w:tr>
        <w:tc>
          <w:tcPr>
            <w:tcW w:type="dxa" w:w="3343"/>
          </w:tcPr>
          <w:p>
            <w:r/>
            <w:r>
              <w:rPr>
                <w:rFonts w:ascii="宋体" w:hAnsi="宋体" w:eastAsia="宋体"/>
                <w:color w:val="000000"/>
                <w:sz w:val="18"/>
              </w:rPr>
              <w:t>audit_events</w:t>
            </w:r>
          </w:p>
        </w:tc>
        <w:tc>
          <w:tcPr>
            <w:tcW w:type="dxa" w:w="3343"/>
          </w:tcPr>
          <w:p>
            <w:r/>
            <w:r>
              <w:rPr>
                <w:rFonts w:ascii="宋体" w:hAnsi="宋体" w:eastAsia="宋体"/>
                <w:color w:val="000000"/>
                <w:sz w:val="18"/>
              </w:rPr>
              <w:t>审计事件</w:t>
            </w:r>
          </w:p>
        </w:tc>
        <w:tc>
          <w:tcPr>
            <w:tcW w:type="dxa" w:w="3343"/>
          </w:tcPr>
          <w:p>
            <w:r/>
            <w:r>
              <w:rPr>
                <w:rFonts w:ascii="宋体" w:hAnsi="宋体" w:eastAsia="宋体"/>
                <w:color w:val="000000"/>
                <w:sz w:val="18"/>
              </w:rPr>
              <w:t>记录降级、回退、恢复和关键判断原因</w:t>
            </w:r>
          </w:p>
        </w:tc>
      </w:tr>
    </w:tbl>
    <w:p/>
    <w:p>
      <w:pPr>
        <w:pStyle w:val="Heading2"/>
        <w:spacing w:before="160" w:after="120"/>
      </w:pPr>
      <w:r/>
      <w:r>
        <w:rPr>
          <w:rFonts w:ascii="宋体" w:hAnsi="宋体" w:eastAsia="宋体"/>
          <w:b/>
          <w:color w:val="000000"/>
          <w:sz w:val="26"/>
        </w:rPr>
        <w:t>11.2 DLHP字段字典</w:t>
      </w:r>
    </w:p>
    <w:p>
      <w:pPr>
        <w:pStyle w:val="BodyText"/>
        <w:spacing w:line="360" w:lineRule="auto" w:after="120"/>
        <w:ind w:firstLine="420"/>
      </w:pPr>
      <w:r/>
      <w:r>
        <w:rPr>
          <w:rFonts w:ascii="宋体" w:hAnsi="宋体" w:eastAsia="宋体"/>
          <w:b w:val="0"/>
          <w:color w:val="000000"/>
          <w:sz w:val="21"/>
        </w:rPr>
        <w:t>DLHP字段字典用于说明受保护单元、调度预览和诱饵包输出。DLHP结果中既有面向协议解释的字段，也有面向测试验证的字段。评审时应关注字段之间是否能说明跳频位置、硬问题类别和认证结果。</w:t>
      </w:r>
    </w:p>
    <w:p>
      <w:pPr>
        <w:pStyle w:val="BodyText"/>
        <w:spacing w:line="360" w:lineRule="auto" w:after="120"/>
        <w:ind w:firstLine="420"/>
      </w:pPr>
      <w:r/>
      <w:r>
        <w:rPr>
          <w:rFonts w:ascii="宋体" w:hAnsi="宋体" w:eastAsia="宋体"/>
          <w:b w:val="0"/>
          <w:color w:val="000000"/>
          <w:sz w:val="21"/>
        </w:rPr>
        <w:t>header记录会话标识、序列号和算法选择，hard_problem_class说明当前跳频落在哪一类难题，tag用于认证校验，preferred_path说明处理路径。若输出为chaff，应明确其为诱饵单元，不应作为真实负载恢复。</w:t>
      </w:r>
    </w:p>
    <w:tbl>
      <w:tblPr>
        <w:tblStyle w:val="TableGrid"/>
        <w:tblW w:type="auto" w:w="0"/>
        <w:tblLook w:firstColumn="1" w:firstRow="1" w:lastColumn="0" w:lastRow="0" w:noHBand="0" w:noVBand="1" w:val="04A0"/>
      </w:tblPr>
      <w:tblGrid>
        <w:gridCol w:w="3343"/>
        <w:gridCol w:w="3343"/>
        <w:gridCol w:w="3343"/>
      </w:tblGrid>
      <w:tr>
        <w:tc>
          <w:tcPr>
            <w:tcW w:type="dxa" w:w="3343"/>
          </w:tcPr>
          <w:p>
            <w:r/>
            <w:r>
              <w:rPr>
                <w:rFonts w:ascii="宋体" w:hAnsi="宋体" w:eastAsia="宋体"/>
                <w:color w:val="000000"/>
                <w:sz w:val="18"/>
              </w:rPr>
              <w:t>字段</w:t>
            </w:r>
          </w:p>
        </w:tc>
        <w:tc>
          <w:tcPr>
            <w:tcW w:type="dxa" w:w="3343"/>
          </w:tcPr>
          <w:p>
            <w:r/>
            <w:r>
              <w:rPr>
                <w:rFonts w:ascii="宋体" w:hAnsi="宋体" w:eastAsia="宋体"/>
                <w:color w:val="000000"/>
                <w:sz w:val="18"/>
              </w:rPr>
              <w:t>含义</w:t>
            </w:r>
          </w:p>
        </w:tc>
        <w:tc>
          <w:tcPr>
            <w:tcW w:type="dxa" w:w="3343"/>
          </w:tcPr>
          <w:p>
            <w:r/>
            <w:r>
              <w:rPr>
                <w:rFonts w:ascii="宋体" w:hAnsi="宋体" w:eastAsia="宋体"/>
                <w:color w:val="000000"/>
                <w:sz w:val="18"/>
              </w:rPr>
              <w:t>使用说明</w:t>
            </w:r>
          </w:p>
        </w:tc>
      </w:tr>
      <w:tr>
        <w:tc>
          <w:tcPr>
            <w:tcW w:type="dxa" w:w="3343"/>
          </w:tcPr>
          <w:p>
            <w:r/>
            <w:r>
              <w:rPr>
                <w:rFonts w:ascii="宋体" w:hAnsi="宋体" w:eastAsia="宋体"/>
                <w:color w:val="000000"/>
                <w:sz w:val="18"/>
              </w:rPr>
              <w:t>seq_id</w:t>
            </w:r>
          </w:p>
        </w:tc>
        <w:tc>
          <w:tcPr>
            <w:tcW w:type="dxa" w:w="3343"/>
          </w:tcPr>
          <w:p>
            <w:r/>
            <w:r>
              <w:rPr>
                <w:rFonts w:ascii="宋体" w:hAnsi="宋体" w:eastAsia="宋体"/>
                <w:color w:val="000000"/>
                <w:sz w:val="18"/>
              </w:rPr>
              <w:t>序列号</w:t>
            </w:r>
          </w:p>
        </w:tc>
        <w:tc>
          <w:tcPr>
            <w:tcW w:type="dxa" w:w="3343"/>
          </w:tcPr>
          <w:p>
            <w:r/>
            <w:r>
              <w:rPr>
                <w:rFonts w:ascii="宋体" w:hAnsi="宋体" w:eastAsia="宋体"/>
                <w:color w:val="000000"/>
                <w:sz w:val="18"/>
              </w:rPr>
              <w:t>决定跳频位置和重放窗口判断</w:t>
            </w:r>
          </w:p>
        </w:tc>
      </w:tr>
      <w:tr>
        <w:tc>
          <w:tcPr>
            <w:tcW w:type="dxa" w:w="3343"/>
          </w:tcPr>
          <w:p>
            <w:r/>
            <w:r>
              <w:rPr>
                <w:rFonts w:ascii="宋体" w:hAnsi="宋体" w:eastAsia="宋体"/>
                <w:color w:val="000000"/>
                <w:sz w:val="18"/>
              </w:rPr>
              <w:t>algorithm</w:t>
            </w:r>
          </w:p>
        </w:tc>
        <w:tc>
          <w:tcPr>
            <w:tcW w:type="dxa" w:w="3343"/>
          </w:tcPr>
          <w:p>
            <w:r/>
            <w:r>
              <w:rPr>
                <w:rFonts w:ascii="宋体" w:hAnsi="宋体" w:eastAsia="宋体"/>
                <w:color w:val="000000"/>
                <w:sz w:val="18"/>
              </w:rPr>
              <w:t>候选算法</w:t>
            </w:r>
          </w:p>
        </w:tc>
        <w:tc>
          <w:tcPr>
            <w:tcW w:type="dxa" w:w="3343"/>
          </w:tcPr>
          <w:p>
            <w:r/>
            <w:r>
              <w:rPr>
                <w:rFonts w:ascii="宋体" w:hAnsi="宋体" w:eastAsia="宋体"/>
                <w:color w:val="000000"/>
                <w:sz w:val="18"/>
              </w:rPr>
              <w:t>由主密钥、序列号和salt派生选择</w:t>
            </w:r>
          </w:p>
        </w:tc>
      </w:tr>
      <w:tr>
        <w:tc>
          <w:tcPr>
            <w:tcW w:type="dxa" w:w="3343"/>
          </w:tcPr>
          <w:p>
            <w:r/>
            <w:r>
              <w:rPr>
                <w:rFonts w:ascii="宋体" w:hAnsi="宋体" w:eastAsia="宋体"/>
                <w:color w:val="000000"/>
                <w:sz w:val="18"/>
              </w:rPr>
              <w:t>hard_problem_class</w:t>
            </w:r>
          </w:p>
        </w:tc>
        <w:tc>
          <w:tcPr>
            <w:tcW w:type="dxa" w:w="3343"/>
          </w:tcPr>
          <w:p>
            <w:r/>
            <w:r>
              <w:rPr>
                <w:rFonts w:ascii="宋体" w:hAnsi="宋体" w:eastAsia="宋体"/>
                <w:color w:val="000000"/>
                <w:sz w:val="18"/>
              </w:rPr>
              <w:t>硬问题类别</w:t>
            </w:r>
          </w:p>
        </w:tc>
        <w:tc>
          <w:tcPr>
            <w:tcW w:type="dxa" w:w="3343"/>
          </w:tcPr>
          <w:p>
            <w:r/>
            <w:r>
              <w:rPr>
                <w:rFonts w:ascii="宋体" w:hAnsi="宋体" w:eastAsia="宋体"/>
                <w:color w:val="000000"/>
                <w:sz w:val="18"/>
              </w:rPr>
              <w:t>用于检查相邻类别正交性</w:t>
            </w:r>
          </w:p>
        </w:tc>
      </w:tr>
      <w:tr>
        <w:tc>
          <w:tcPr>
            <w:tcW w:type="dxa" w:w="3343"/>
          </w:tcPr>
          <w:p>
            <w:r/>
            <w:r>
              <w:rPr>
                <w:rFonts w:ascii="宋体" w:hAnsi="宋体" w:eastAsia="宋体"/>
                <w:color w:val="000000"/>
                <w:sz w:val="18"/>
              </w:rPr>
              <w:t>tag</w:t>
            </w:r>
          </w:p>
        </w:tc>
        <w:tc>
          <w:tcPr>
            <w:tcW w:type="dxa" w:w="3343"/>
          </w:tcPr>
          <w:p>
            <w:r/>
            <w:r>
              <w:rPr>
                <w:rFonts w:ascii="宋体" w:hAnsi="宋体" w:eastAsia="宋体"/>
                <w:color w:val="000000"/>
                <w:sz w:val="18"/>
              </w:rPr>
              <w:t>认证标签</w:t>
            </w:r>
          </w:p>
        </w:tc>
        <w:tc>
          <w:tcPr>
            <w:tcW w:type="dxa" w:w="3343"/>
          </w:tcPr>
          <w:p>
            <w:r/>
            <w:r>
              <w:rPr>
                <w:rFonts w:ascii="宋体" w:hAnsi="宋体" w:eastAsia="宋体"/>
                <w:color w:val="000000"/>
                <w:sz w:val="18"/>
              </w:rPr>
              <w:t>用于演示篡改检测和打开校验</w:t>
            </w:r>
          </w:p>
        </w:tc>
      </w:tr>
      <w:tr>
        <w:tc>
          <w:tcPr>
            <w:tcW w:type="dxa" w:w="3343"/>
          </w:tcPr>
          <w:p>
            <w:r/>
            <w:r>
              <w:rPr>
                <w:rFonts w:ascii="宋体" w:hAnsi="宋体" w:eastAsia="宋体"/>
                <w:color w:val="000000"/>
                <w:sz w:val="18"/>
              </w:rPr>
              <w:t>chaff</w:t>
            </w:r>
          </w:p>
        </w:tc>
        <w:tc>
          <w:tcPr>
            <w:tcW w:type="dxa" w:w="3343"/>
          </w:tcPr>
          <w:p>
            <w:r/>
            <w:r>
              <w:rPr>
                <w:rFonts w:ascii="宋体" w:hAnsi="宋体" w:eastAsia="宋体"/>
                <w:color w:val="000000"/>
                <w:sz w:val="18"/>
              </w:rPr>
              <w:t>诱饵标记</w:t>
            </w:r>
          </w:p>
        </w:tc>
        <w:tc>
          <w:tcPr>
            <w:tcW w:type="dxa" w:w="3343"/>
          </w:tcPr>
          <w:p>
            <w:r/>
            <w:r>
              <w:rPr>
                <w:rFonts w:ascii="宋体" w:hAnsi="宋体" w:eastAsia="宋体"/>
                <w:color w:val="000000"/>
                <w:sz w:val="18"/>
              </w:rPr>
              <w:t>说明该单元仅用于流量混淆演示</w:t>
            </w:r>
          </w:p>
        </w:tc>
      </w:tr>
    </w:tbl>
    <w:p/>
    <w:p>
      <w:pPr>
        <w:pStyle w:val="Heading2"/>
        <w:spacing w:before="160" w:after="120"/>
      </w:pPr>
      <w:r/>
      <w:r>
        <w:rPr>
          <w:rFonts w:ascii="宋体" w:hAnsi="宋体" w:eastAsia="宋体"/>
          <w:b/>
          <w:color w:val="000000"/>
          <w:sz w:val="26"/>
        </w:rPr>
        <w:t>11.3 提交前检查清单</w:t>
      </w:r>
    </w:p>
    <w:p>
      <w:pPr>
        <w:pStyle w:val="BodyText"/>
        <w:spacing w:line="360" w:lineRule="auto" w:after="120"/>
        <w:ind w:firstLine="420"/>
      </w:pPr>
      <w:r/>
      <w:r>
        <w:rPr>
          <w:rFonts w:ascii="宋体" w:hAnsi="宋体" w:eastAsia="宋体"/>
          <w:b w:val="0"/>
          <w:color w:val="000000"/>
          <w:sz w:val="21"/>
        </w:rPr>
        <w:t>提交前检查清单用于保证申请材料、源码和测试结果处于同一状态。由于本项目仍在开发，源程序量会随着GUI、测试和文档生成脚本变化而变化，因此最终提交前必须重新运行生成脚本，并重新渲染PDF核对页数。</w:t>
      </w:r>
    </w:p>
    <w:p>
      <w:pPr>
        <w:pStyle w:val="BodyText"/>
        <w:spacing w:line="360" w:lineRule="auto" w:after="120"/>
        <w:ind w:firstLine="420"/>
      </w:pPr>
      <w:r/>
      <w:r>
        <w:rPr>
          <w:rFonts w:ascii="宋体" w:hAnsi="宋体" w:eastAsia="宋体"/>
          <w:b w:val="0"/>
          <w:color w:val="000000"/>
          <w:sz w:val="21"/>
        </w:rPr>
        <w:t>检查时应先确认附件1中的源程序量与清单一致，再确认附件2说明书页数、目录页码、页眉页码、末尾end和字体颜色，最后确认附件3源程序为60页、每页50行、末行end。若任一项变化，应重新生成所有正式附件，而不是只改其中一个文件。</w:t>
      </w:r>
    </w:p>
    <w:p>
      <w:r>
        <w:br w:type="page"/>
      </w:r>
    </w:p>
    <w:tbl>
      <w:tblPr>
        <w:tblStyle w:val="TableGrid"/>
        <w:tblW w:type="auto" w:w="0"/>
        <w:tblLook w:firstColumn="1" w:firstRow="1" w:lastColumn="0" w:lastRow="0" w:noHBand="0" w:noVBand="1" w:val="04A0"/>
      </w:tblPr>
      <w:tblGrid>
        <w:gridCol w:w="3343"/>
        <w:gridCol w:w="3343"/>
        <w:gridCol w:w="3343"/>
      </w:tblGrid>
      <w:tr>
        <w:tc>
          <w:tcPr>
            <w:tcW w:type="dxa" w:w="3343"/>
          </w:tcPr>
          <w:p>
            <w:r/>
            <w:r>
              <w:rPr>
                <w:rFonts w:ascii="宋体" w:hAnsi="宋体" w:eastAsia="宋体"/>
                <w:color w:val="000000"/>
                <w:sz w:val="18"/>
              </w:rPr>
              <w:t>检查对象</w:t>
            </w:r>
          </w:p>
        </w:tc>
        <w:tc>
          <w:tcPr>
            <w:tcW w:type="dxa" w:w="3343"/>
          </w:tcPr>
          <w:p>
            <w:r/>
            <w:r>
              <w:rPr>
                <w:rFonts w:ascii="宋体" w:hAnsi="宋体" w:eastAsia="宋体"/>
                <w:color w:val="000000"/>
                <w:sz w:val="18"/>
              </w:rPr>
              <w:t>检查内容</w:t>
            </w:r>
          </w:p>
        </w:tc>
        <w:tc>
          <w:tcPr>
            <w:tcW w:type="dxa" w:w="3343"/>
          </w:tcPr>
          <w:p>
            <w:r/>
            <w:r>
              <w:rPr>
                <w:rFonts w:ascii="宋体" w:hAnsi="宋体" w:eastAsia="宋体"/>
                <w:color w:val="000000"/>
                <w:sz w:val="18"/>
              </w:rPr>
              <w:t>通过标准</w:t>
            </w:r>
          </w:p>
        </w:tc>
      </w:tr>
      <w:tr>
        <w:tc>
          <w:tcPr>
            <w:tcW w:type="dxa" w:w="3343"/>
          </w:tcPr>
          <w:p>
            <w:r/>
            <w:r>
              <w:rPr>
                <w:rFonts w:ascii="宋体" w:hAnsi="宋体" w:eastAsia="宋体"/>
                <w:color w:val="000000"/>
                <w:sz w:val="18"/>
              </w:rPr>
              <w:t>申请表</w:t>
            </w:r>
          </w:p>
        </w:tc>
        <w:tc>
          <w:tcPr>
            <w:tcW w:type="dxa" w:w="3343"/>
          </w:tcPr>
          <w:p>
            <w:r/>
            <w:r>
              <w:rPr>
                <w:rFonts w:ascii="宋体" w:hAnsi="宋体" w:eastAsia="宋体"/>
                <w:color w:val="000000"/>
                <w:sz w:val="18"/>
              </w:rPr>
              <w:t>主体、日期、源程序量</w:t>
            </w:r>
          </w:p>
        </w:tc>
        <w:tc>
          <w:tcPr>
            <w:tcW w:type="dxa" w:w="3343"/>
          </w:tcPr>
          <w:p>
            <w:r/>
            <w:r>
              <w:rPr>
                <w:rFonts w:ascii="宋体" w:hAnsi="宋体" w:eastAsia="宋体"/>
                <w:color w:val="000000"/>
                <w:sz w:val="18"/>
              </w:rPr>
              <w:t>许达、未发表、源程序量与清单一致</w:t>
            </w:r>
          </w:p>
        </w:tc>
      </w:tr>
      <w:tr>
        <w:tc>
          <w:tcPr>
            <w:tcW w:type="dxa" w:w="3343"/>
          </w:tcPr>
          <w:p>
            <w:r/>
            <w:r>
              <w:rPr>
                <w:rFonts w:ascii="宋体" w:hAnsi="宋体" w:eastAsia="宋体"/>
                <w:color w:val="000000"/>
                <w:sz w:val="18"/>
              </w:rPr>
              <w:t>说明书</w:t>
            </w:r>
          </w:p>
        </w:tc>
        <w:tc>
          <w:tcPr>
            <w:tcW w:type="dxa" w:w="3343"/>
          </w:tcPr>
          <w:p>
            <w:r/>
            <w:r>
              <w:rPr>
                <w:rFonts w:ascii="宋体" w:hAnsi="宋体" w:eastAsia="宋体"/>
                <w:color w:val="000000"/>
                <w:sz w:val="18"/>
              </w:rPr>
              <w:t>页数、目录、颜色、末尾</w:t>
            </w:r>
          </w:p>
        </w:tc>
        <w:tc>
          <w:tcPr>
            <w:tcW w:type="dxa" w:w="3343"/>
          </w:tcPr>
          <w:p>
            <w:r/>
            <w:r>
              <w:rPr>
                <w:rFonts w:ascii="宋体" w:hAnsi="宋体" w:eastAsia="宋体"/>
                <w:color w:val="000000"/>
                <w:sz w:val="18"/>
              </w:rPr>
              <w:t>不足60页全部提交、全黑、末尾end</w:t>
            </w:r>
          </w:p>
        </w:tc>
      </w:tr>
      <w:tr>
        <w:tc>
          <w:tcPr>
            <w:tcW w:type="dxa" w:w="3343"/>
          </w:tcPr>
          <w:p>
            <w:r/>
            <w:r>
              <w:rPr>
                <w:rFonts w:ascii="宋体" w:hAnsi="宋体" w:eastAsia="宋体"/>
                <w:color w:val="000000"/>
                <w:sz w:val="18"/>
              </w:rPr>
              <w:t>源程序</w:t>
            </w:r>
          </w:p>
        </w:tc>
        <w:tc>
          <w:tcPr>
            <w:tcW w:type="dxa" w:w="3343"/>
          </w:tcPr>
          <w:p>
            <w:r/>
            <w:r>
              <w:rPr>
                <w:rFonts w:ascii="宋体" w:hAnsi="宋体" w:eastAsia="宋体"/>
                <w:color w:val="000000"/>
                <w:sz w:val="18"/>
              </w:rPr>
              <w:t>页数、行数、页眉</w:t>
            </w:r>
          </w:p>
        </w:tc>
        <w:tc>
          <w:tcPr>
            <w:tcW w:type="dxa" w:w="3343"/>
          </w:tcPr>
          <w:p>
            <w:r/>
            <w:r>
              <w:rPr>
                <w:rFonts w:ascii="宋体" w:hAnsi="宋体" w:eastAsia="宋体"/>
                <w:color w:val="000000"/>
                <w:sz w:val="18"/>
              </w:rPr>
              <w:t>60页、每页50行、页眉含软件名和页码</w:t>
            </w:r>
          </w:p>
        </w:tc>
      </w:tr>
      <w:tr>
        <w:tc>
          <w:tcPr>
            <w:tcW w:type="dxa" w:w="3343"/>
          </w:tcPr>
          <w:p>
            <w:r/>
            <w:r>
              <w:rPr>
                <w:rFonts w:ascii="宋体" w:hAnsi="宋体" w:eastAsia="宋体"/>
                <w:color w:val="000000"/>
                <w:sz w:val="18"/>
              </w:rPr>
              <w:t>清单报告</w:t>
            </w:r>
          </w:p>
        </w:tc>
        <w:tc>
          <w:tcPr>
            <w:tcW w:type="dxa" w:w="3343"/>
          </w:tcPr>
          <w:p>
            <w:r/>
            <w:r>
              <w:rPr>
                <w:rFonts w:ascii="宋体" w:hAnsi="宋体" w:eastAsia="宋体"/>
                <w:color w:val="000000"/>
                <w:sz w:val="18"/>
              </w:rPr>
              <w:t>页数和统计</w:t>
            </w:r>
          </w:p>
        </w:tc>
        <w:tc>
          <w:tcPr>
            <w:tcW w:type="dxa" w:w="3343"/>
          </w:tcPr>
          <w:p>
            <w:r/>
            <w:r>
              <w:rPr>
                <w:rFonts w:ascii="宋体" w:hAnsi="宋体" w:eastAsia="宋体"/>
                <w:color w:val="000000"/>
                <w:sz w:val="18"/>
              </w:rPr>
              <w:t>与实际PDF和当前源码统计一致</w:t>
            </w:r>
          </w:p>
        </w:tc>
      </w:tr>
      <w:tr>
        <w:tc>
          <w:tcPr>
            <w:tcW w:type="dxa" w:w="3343"/>
          </w:tcPr>
          <w:p>
            <w:r/>
            <w:r>
              <w:rPr>
                <w:rFonts w:ascii="宋体" w:hAnsi="宋体" w:eastAsia="宋体"/>
                <w:color w:val="000000"/>
                <w:sz w:val="18"/>
              </w:rPr>
              <w:t>测试结果</w:t>
            </w:r>
          </w:p>
        </w:tc>
        <w:tc>
          <w:tcPr>
            <w:tcW w:type="dxa" w:w="3343"/>
          </w:tcPr>
          <w:p>
            <w:r/>
            <w:r>
              <w:rPr>
                <w:rFonts w:ascii="宋体" w:hAnsi="宋体" w:eastAsia="宋体"/>
                <w:color w:val="000000"/>
                <w:sz w:val="18"/>
              </w:rPr>
              <w:t>pytest和GUI回归</w:t>
            </w:r>
          </w:p>
        </w:tc>
        <w:tc>
          <w:tcPr>
            <w:tcW w:type="dxa" w:w="3343"/>
          </w:tcPr>
          <w:p>
            <w:r/>
            <w:r>
              <w:rPr>
                <w:rFonts w:ascii="宋体" w:hAnsi="宋体" w:eastAsia="宋体"/>
                <w:color w:val="000000"/>
                <w:sz w:val="18"/>
              </w:rPr>
              <w:t>Python测试和Playwright测试均通过</w:t>
            </w:r>
          </w:p>
        </w:tc>
      </w:tr>
    </w:tbl>
    <w:p/>
    <w:p>
      <w:r>
        <w:br w:type="page"/>
      </w:r>
    </w:p>
    <w:p>
      <w:pPr>
        <w:pStyle w:val="Heading1"/>
        <w:spacing w:before="240" w:after="160"/>
      </w:pPr>
      <w:r/>
      <w:r>
        <w:rPr>
          <w:rFonts w:ascii="宋体" w:hAnsi="宋体" w:eastAsia="宋体"/>
          <w:b/>
          <w:color w:val="000000"/>
          <w:sz w:val="32"/>
        </w:rPr>
        <w:t>12、 运行案例记录</w:t>
      </w:r>
    </w:p>
    <w:p>
      <w:pPr>
        <w:pStyle w:val="Heading2"/>
        <w:spacing w:before="160" w:after="120"/>
      </w:pPr>
      <w:r/>
      <w:r>
        <w:rPr>
          <w:rFonts w:ascii="宋体" w:hAnsi="宋体" w:eastAsia="宋体"/>
          <w:b/>
          <w:color w:val="000000"/>
          <w:sz w:val="26"/>
        </w:rPr>
        <w:t>12.1 QCH运行记录</w:t>
      </w:r>
    </w:p>
    <w:p>
      <w:pPr>
        <w:pStyle w:val="BodyText"/>
        <w:spacing w:line="360" w:lineRule="auto" w:after="120"/>
        <w:ind w:firstLine="420"/>
      </w:pPr>
      <w:r/>
      <w:r>
        <w:rPr>
          <w:rFonts w:ascii="宋体" w:hAnsi="宋体" w:eastAsia="宋体"/>
          <w:b w:val="0"/>
          <w:color w:val="000000"/>
          <w:sz w:val="21"/>
        </w:rPr>
        <w:t>QCH运行案例用于说明软件如何把量子链路状态转换为混合握手结果。验收人员通常选择一组稳定输入，例如QKD可用字节数为64、QKD速率为10000、QBER为0.01，执行qch-demo命令或在GUI的QCH-KEM面板中运行。软件应返回可解析JSON，并在结果中明确展示state、pqc_profile、qkd_key_bytes、bandwidth_bytes和audit_events等字段。</w:t>
      </w:r>
    </w:p>
    <w:p>
      <w:pPr>
        <w:pStyle w:val="BodyText"/>
        <w:spacing w:line="360" w:lineRule="auto" w:after="120"/>
        <w:ind w:firstLine="420"/>
      </w:pPr>
      <w:r/>
      <w:r>
        <w:rPr>
          <w:rFonts w:ascii="宋体" w:hAnsi="宋体" w:eastAsia="宋体"/>
          <w:b w:val="0"/>
          <w:color w:val="000000"/>
          <w:sz w:val="21"/>
        </w:rPr>
        <w:t>该案例的检查重点不是只看命令是否结束，而是看状态判断是否和输入含义一致。QKD材料充足且误码率较低时，系统应保持正常或较高健康状态；当QKD材料被设置为0或QBER明显升高时，系统应进入降级或回退状态，并在审计事件中说明原因。这样可以证明QCH控制器并非固定输出，而是会根据链路指标动态调整参数。</w:t>
      </w:r>
    </w:p>
    <w:p>
      <w:pPr>
        <w:pStyle w:val="BodyText"/>
        <w:spacing w:line="360" w:lineRule="auto" w:after="120"/>
        <w:ind w:firstLine="420"/>
      </w:pPr>
      <w:r/>
      <w:r>
        <w:rPr>
          <w:rFonts w:ascii="宋体" w:hAnsi="宋体" w:eastAsia="宋体"/>
          <w:b w:val="0"/>
          <w:color w:val="000000"/>
          <w:sz w:val="21"/>
        </w:rPr>
        <w:t>为了保持复核结果可追溯，运行记录应保存输入参数、执行入口、JSON主要字段和异常提示。若同一输入在CLI和GUI中得到不同含义的结果，应先检查GUI API是否传参正确，再检查核心模块是否发生未同步修改。正式提交材料不需要附带每次运行的完整JSON，但说明书需要把记录口径写清楚，便于后续验收和维护。</w:t>
      </w:r>
    </w:p>
    <w:tbl>
      <w:tblPr>
        <w:tblStyle w:val="TableGrid"/>
        <w:tblW w:type="auto" w:w="0"/>
        <w:tblLook w:firstColumn="1" w:firstRow="1" w:lastColumn="0" w:lastRow="0" w:noHBand="0" w:noVBand="1" w:val="04A0"/>
      </w:tblPr>
      <w:tblGrid>
        <w:gridCol w:w="3343"/>
        <w:gridCol w:w="3343"/>
        <w:gridCol w:w="3343"/>
      </w:tblGrid>
      <w:tr>
        <w:tc>
          <w:tcPr>
            <w:tcW w:type="dxa" w:w="3343"/>
          </w:tcPr>
          <w:p>
            <w:r/>
            <w:r>
              <w:rPr>
                <w:rFonts w:ascii="宋体" w:hAnsi="宋体" w:eastAsia="宋体"/>
                <w:color w:val="000000"/>
                <w:sz w:val="18"/>
              </w:rPr>
              <w:t>记录项</w:t>
            </w:r>
          </w:p>
        </w:tc>
        <w:tc>
          <w:tcPr>
            <w:tcW w:type="dxa" w:w="3343"/>
          </w:tcPr>
          <w:p>
            <w:r/>
            <w:r>
              <w:rPr>
                <w:rFonts w:ascii="宋体" w:hAnsi="宋体" w:eastAsia="宋体"/>
                <w:color w:val="000000"/>
                <w:sz w:val="18"/>
              </w:rPr>
              <w:t>示例内容</w:t>
            </w:r>
          </w:p>
        </w:tc>
        <w:tc>
          <w:tcPr>
            <w:tcW w:type="dxa" w:w="3343"/>
          </w:tcPr>
          <w:p>
            <w:r/>
            <w:r>
              <w:rPr>
                <w:rFonts w:ascii="宋体" w:hAnsi="宋体" w:eastAsia="宋体"/>
                <w:color w:val="000000"/>
                <w:sz w:val="18"/>
              </w:rPr>
              <w:t>复核含义</w:t>
            </w:r>
          </w:p>
        </w:tc>
      </w:tr>
      <w:tr>
        <w:tc>
          <w:tcPr>
            <w:tcW w:type="dxa" w:w="3343"/>
          </w:tcPr>
          <w:p>
            <w:r/>
            <w:r>
              <w:rPr>
                <w:rFonts w:ascii="宋体" w:hAnsi="宋体" w:eastAsia="宋体"/>
                <w:color w:val="000000"/>
                <w:sz w:val="18"/>
              </w:rPr>
              <w:t>输入参数</w:t>
            </w:r>
          </w:p>
        </w:tc>
        <w:tc>
          <w:tcPr>
            <w:tcW w:type="dxa" w:w="3343"/>
          </w:tcPr>
          <w:p>
            <w:r/>
            <w:r>
              <w:rPr>
                <w:rFonts w:ascii="宋体" w:hAnsi="宋体" w:eastAsia="宋体"/>
                <w:color w:val="000000"/>
                <w:sz w:val="18"/>
              </w:rPr>
              <w:t>qkd_bytes=64、qkd_rate=10000、qber=0.01</w:t>
            </w:r>
          </w:p>
        </w:tc>
        <w:tc>
          <w:tcPr>
            <w:tcW w:type="dxa" w:w="3343"/>
          </w:tcPr>
          <w:p>
            <w:r/>
            <w:r>
              <w:rPr>
                <w:rFonts w:ascii="宋体" w:hAnsi="宋体" w:eastAsia="宋体"/>
                <w:color w:val="000000"/>
                <w:sz w:val="18"/>
              </w:rPr>
              <w:t>说明量子链路处于可用演示状态</w:t>
            </w:r>
          </w:p>
        </w:tc>
      </w:tr>
      <w:tr>
        <w:tc>
          <w:tcPr>
            <w:tcW w:type="dxa" w:w="3343"/>
          </w:tcPr>
          <w:p>
            <w:r/>
            <w:r>
              <w:rPr>
                <w:rFonts w:ascii="宋体" w:hAnsi="宋体" w:eastAsia="宋体"/>
                <w:color w:val="000000"/>
                <w:sz w:val="18"/>
              </w:rPr>
              <w:t>握手状态</w:t>
            </w:r>
          </w:p>
        </w:tc>
        <w:tc>
          <w:tcPr>
            <w:tcW w:type="dxa" w:w="3343"/>
          </w:tcPr>
          <w:p>
            <w:r/>
            <w:r>
              <w:rPr>
                <w:rFonts w:ascii="宋体" w:hAnsi="宋体" w:eastAsia="宋体"/>
                <w:color w:val="000000"/>
                <w:sz w:val="18"/>
              </w:rPr>
              <w:t>state、pqc_profile、qkd_key_bytes</w:t>
            </w:r>
          </w:p>
        </w:tc>
        <w:tc>
          <w:tcPr>
            <w:tcW w:type="dxa" w:w="3343"/>
          </w:tcPr>
          <w:p>
            <w:r/>
            <w:r>
              <w:rPr>
                <w:rFonts w:ascii="宋体" w:hAnsi="宋体" w:eastAsia="宋体"/>
                <w:color w:val="000000"/>
                <w:sz w:val="18"/>
              </w:rPr>
              <w:t>确认状态机和参数档选择有效</w:t>
            </w:r>
          </w:p>
        </w:tc>
      </w:tr>
      <w:tr>
        <w:tc>
          <w:tcPr>
            <w:tcW w:type="dxa" w:w="3343"/>
          </w:tcPr>
          <w:p>
            <w:r/>
            <w:r>
              <w:rPr>
                <w:rFonts w:ascii="宋体" w:hAnsi="宋体" w:eastAsia="宋体"/>
                <w:color w:val="000000"/>
                <w:sz w:val="18"/>
              </w:rPr>
              <w:t>审计事件</w:t>
            </w:r>
          </w:p>
        </w:tc>
        <w:tc>
          <w:tcPr>
            <w:tcW w:type="dxa" w:w="3343"/>
          </w:tcPr>
          <w:p>
            <w:r/>
            <w:r>
              <w:rPr>
                <w:rFonts w:ascii="宋体" w:hAnsi="宋体" w:eastAsia="宋体"/>
                <w:color w:val="000000"/>
                <w:sz w:val="18"/>
              </w:rPr>
              <w:t>audit_events</w:t>
            </w:r>
          </w:p>
        </w:tc>
        <w:tc>
          <w:tcPr>
            <w:tcW w:type="dxa" w:w="3343"/>
          </w:tcPr>
          <w:p>
            <w:r/>
            <w:r>
              <w:rPr>
                <w:rFonts w:ascii="宋体" w:hAnsi="宋体" w:eastAsia="宋体"/>
                <w:color w:val="000000"/>
                <w:sz w:val="18"/>
              </w:rPr>
              <w:t>说明降级、回退或恢复的判断原因</w:t>
            </w:r>
          </w:p>
        </w:tc>
      </w:tr>
      <w:tr>
        <w:tc>
          <w:tcPr>
            <w:tcW w:type="dxa" w:w="3343"/>
          </w:tcPr>
          <w:p>
            <w:r/>
            <w:r>
              <w:rPr>
                <w:rFonts w:ascii="宋体" w:hAnsi="宋体" w:eastAsia="宋体"/>
                <w:color w:val="000000"/>
                <w:sz w:val="18"/>
              </w:rPr>
              <w:t>安全边界</w:t>
            </w:r>
          </w:p>
        </w:tc>
        <w:tc>
          <w:tcPr>
            <w:tcW w:type="dxa" w:w="3343"/>
          </w:tcPr>
          <w:p>
            <w:r/>
            <w:r>
              <w:rPr>
                <w:rFonts w:ascii="宋体" w:hAnsi="宋体" w:eastAsia="宋体"/>
                <w:color w:val="000000"/>
                <w:sz w:val="18"/>
              </w:rPr>
              <w:t>session_key默认不输出</w:t>
            </w:r>
          </w:p>
        </w:tc>
        <w:tc>
          <w:tcPr>
            <w:tcW w:type="dxa" w:w="3343"/>
          </w:tcPr>
          <w:p>
            <w:r/>
            <w:r>
              <w:rPr>
                <w:rFonts w:ascii="宋体" w:hAnsi="宋体" w:eastAsia="宋体"/>
                <w:color w:val="000000"/>
                <w:sz w:val="18"/>
              </w:rPr>
              <w:t>确认普通演示不泄露会话密钥</w:t>
            </w:r>
          </w:p>
        </w:tc>
      </w:tr>
    </w:tbl>
    <w:p/>
    <w:p>
      <w:pPr>
        <w:pStyle w:val="Heading2"/>
        <w:spacing w:before="160" w:after="120"/>
      </w:pPr>
      <w:r/>
      <w:r>
        <w:rPr>
          <w:rFonts w:ascii="宋体" w:hAnsi="宋体" w:eastAsia="宋体"/>
          <w:b/>
          <w:color w:val="000000"/>
          <w:sz w:val="26"/>
        </w:rPr>
        <w:t>12.2 DLHP运行记录</w:t>
      </w:r>
    </w:p>
    <w:p>
      <w:pPr>
        <w:pStyle w:val="BodyText"/>
        <w:spacing w:line="360" w:lineRule="auto" w:after="120"/>
        <w:ind w:firstLine="420"/>
      </w:pPr>
      <w:r/>
      <w:r>
        <w:rPr>
          <w:rFonts w:ascii="宋体" w:hAnsi="宋体" w:eastAsia="宋体"/>
          <w:b w:val="0"/>
          <w:color w:val="000000"/>
          <w:sz w:val="21"/>
        </w:rPr>
        <w:t>DLHP运行案例用于说明软件如何根据SeqID生成动态跳频调度，并对消息负载形成受保护单元。验收时可以先运行dlhp-schedule观察若干连续SeqID的算法分布，再运行dlhp-unit对一段短消息执行封装和打开验证。结果中应包含header、nonce、ciphertext、tag、hard_problem_class和open_result等信息。</w:t>
      </w:r>
    </w:p>
    <w:p>
      <w:pPr>
        <w:pStyle w:val="BodyText"/>
        <w:spacing w:line="360" w:lineRule="auto" w:after="120"/>
        <w:ind w:firstLine="420"/>
      </w:pPr>
      <w:r/>
      <w:r>
        <w:rPr>
          <w:rFonts w:ascii="宋体" w:hAnsi="宋体" w:eastAsia="宋体"/>
          <w:b w:val="0"/>
          <w:color w:val="000000"/>
          <w:sz w:val="21"/>
        </w:rPr>
        <w:t>该案例应同时检查正常路径和拒绝路径。正常路径要求发送端生成的受保护单元能够被同一会话打开，认证tag保持有效；拒绝路径要求篡改密文、重复打开同一SeqID或使用过旧序列号时被明确拒绝。若只验证成功路径，无法说明重放窗口和认证校验是否真正接入。</w:t>
      </w:r>
    </w:p>
    <w:p>
      <w:pPr>
        <w:pStyle w:val="BodyText"/>
        <w:spacing w:line="360" w:lineRule="auto" w:after="120"/>
        <w:ind w:firstLine="420"/>
      </w:pPr>
      <w:r/>
      <w:r>
        <w:rPr>
          <w:rFonts w:ascii="宋体" w:hAnsi="宋体" w:eastAsia="宋体"/>
          <w:b w:val="0"/>
          <w:color w:val="000000"/>
          <w:sz w:val="21"/>
        </w:rPr>
        <w:t>DLHP记录还需要关注硬问题类别多样性。调度统计中的algorithm_distribution和hard_problem_distribution用于说明轮换集合的覆盖情况，orthogonality_violations用于发现相邻硬问题类别是否重复。该指标不构成数学安全证明，但能帮助研发人员判断当前轮换策略是否符合软件设计目标。</w:t>
      </w:r>
    </w:p>
    <w:tbl>
      <w:tblPr>
        <w:tblStyle w:val="TableGrid"/>
        <w:tblW w:type="auto" w:w="0"/>
        <w:tblLook w:firstColumn="1" w:firstRow="1" w:lastColumn="0" w:lastRow="0" w:noHBand="0" w:noVBand="1" w:val="04A0"/>
      </w:tblPr>
      <w:tblGrid>
        <w:gridCol w:w="3343"/>
        <w:gridCol w:w="3343"/>
        <w:gridCol w:w="3343"/>
      </w:tblGrid>
      <w:tr>
        <w:tc>
          <w:tcPr>
            <w:tcW w:type="dxa" w:w="3343"/>
          </w:tcPr>
          <w:p>
            <w:r/>
            <w:r>
              <w:rPr>
                <w:rFonts w:ascii="宋体" w:hAnsi="宋体" w:eastAsia="宋体"/>
                <w:color w:val="000000"/>
                <w:sz w:val="18"/>
              </w:rPr>
              <w:t>场景</w:t>
            </w:r>
          </w:p>
        </w:tc>
        <w:tc>
          <w:tcPr>
            <w:tcW w:type="dxa" w:w="3343"/>
          </w:tcPr>
          <w:p>
            <w:r/>
            <w:r>
              <w:rPr>
                <w:rFonts w:ascii="宋体" w:hAnsi="宋体" w:eastAsia="宋体"/>
                <w:color w:val="000000"/>
                <w:sz w:val="18"/>
              </w:rPr>
              <w:t>检查动作</w:t>
            </w:r>
          </w:p>
        </w:tc>
        <w:tc>
          <w:tcPr>
            <w:tcW w:type="dxa" w:w="3343"/>
          </w:tcPr>
          <w:p>
            <w:r/>
            <w:r>
              <w:rPr>
                <w:rFonts w:ascii="宋体" w:hAnsi="宋体" w:eastAsia="宋体"/>
                <w:color w:val="000000"/>
                <w:sz w:val="18"/>
              </w:rPr>
              <w:t>期望结果</w:t>
            </w:r>
          </w:p>
        </w:tc>
      </w:tr>
      <w:tr>
        <w:tc>
          <w:tcPr>
            <w:tcW w:type="dxa" w:w="3343"/>
          </w:tcPr>
          <w:p>
            <w:r/>
            <w:r>
              <w:rPr>
                <w:rFonts w:ascii="宋体" w:hAnsi="宋体" w:eastAsia="宋体"/>
                <w:color w:val="000000"/>
                <w:sz w:val="18"/>
              </w:rPr>
              <w:t>调度预览</w:t>
            </w:r>
          </w:p>
        </w:tc>
        <w:tc>
          <w:tcPr>
            <w:tcW w:type="dxa" w:w="3343"/>
          </w:tcPr>
          <w:p>
            <w:r/>
            <w:r>
              <w:rPr>
                <w:rFonts w:ascii="宋体" w:hAnsi="宋体" w:eastAsia="宋体"/>
                <w:color w:val="000000"/>
                <w:sz w:val="18"/>
              </w:rPr>
              <w:t>生成固定数量SeqID调度</w:t>
            </w:r>
          </w:p>
        </w:tc>
        <w:tc>
          <w:tcPr>
            <w:tcW w:type="dxa" w:w="3343"/>
          </w:tcPr>
          <w:p>
            <w:r/>
            <w:r>
              <w:rPr>
                <w:rFonts w:ascii="宋体" w:hAnsi="宋体" w:eastAsia="宋体"/>
                <w:color w:val="000000"/>
                <w:sz w:val="18"/>
              </w:rPr>
              <w:t>算法和硬问题类别分布可读</w:t>
            </w:r>
          </w:p>
        </w:tc>
      </w:tr>
      <w:tr>
        <w:tc>
          <w:tcPr>
            <w:tcW w:type="dxa" w:w="3343"/>
          </w:tcPr>
          <w:p>
            <w:r/>
            <w:r>
              <w:rPr>
                <w:rFonts w:ascii="宋体" w:hAnsi="宋体" w:eastAsia="宋体"/>
                <w:color w:val="000000"/>
                <w:sz w:val="18"/>
              </w:rPr>
              <w:t>单元保护</w:t>
            </w:r>
          </w:p>
        </w:tc>
        <w:tc>
          <w:tcPr>
            <w:tcW w:type="dxa" w:w="3343"/>
          </w:tcPr>
          <w:p>
            <w:r/>
            <w:r>
              <w:rPr>
                <w:rFonts w:ascii="宋体" w:hAnsi="宋体" w:eastAsia="宋体"/>
                <w:color w:val="000000"/>
                <w:sz w:val="18"/>
              </w:rPr>
              <w:t>对消息执行protect_unit/open_unit</w:t>
            </w:r>
          </w:p>
        </w:tc>
        <w:tc>
          <w:tcPr>
            <w:tcW w:type="dxa" w:w="3343"/>
          </w:tcPr>
          <w:p>
            <w:r/>
            <w:r>
              <w:rPr>
                <w:rFonts w:ascii="宋体" w:hAnsi="宋体" w:eastAsia="宋体"/>
                <w:color w:val="000000"/>
                <w:sz w:val="18"/>
              </w:rPr>
              <w:t>认证通过并恢复原始消息</w:t>
            </w:r>
          </w:p>
        </w:tc>
      </w:tr>
      <w:tr>
        <w:tc>
          <w:tcPr>
            <w:tcW w:type="dxa" w:w="3343"/>
          </w:tcPr>
          <w:p>
            <w:r/>
            <w:r>
              <w:rPr>
                <w:rFonts w:ascii="宋体" w:hAnsi="宋体" w:eastAsia="宋体"/>
                <w:color w:val="000000"/>
                <w:sz w:val="18"/>
              </w:rPr>
              <w:t>篡改检测</w:t>
            </w:r>
          </w:p>
        </w:tc>
        <w:tc>
          <w:tcPr>
            <w:tcW w:type="dxa" w:w="3343"/>
          </w:tcPr>
          <w:p>
            <w:r/>
            <w:r>
              <w:rPr>
                <w:rFonts w:ascii="宋体" w:hAnsi="宋体" w:eastAsia="宋体"/>
                <w:color w:val="000000"/>
                <w:sz w:val="18"/>
              </w:rPr>
              <w:t>修改ciphertext或tag后打开</w:t>
            </w:r>
          </w:p>
        </w:tc>
        <w:tc>
          <w:tcPr>
            <w:tcW w:type="dxa" w:w="3343"/>
          </w:tcPr>
          <w:p>
            <w:r/>
            <w:r>
              <w:rPr>
                <w:rFonts w:ascii="宋体" w:hAnsi="宋体" w:eastAsia="宋体"/>
                <w:color w:val="000000"/>
                <w:sz w:val="18"/>
              </w:rPr>
              <w:t>返回认证失败或拒绝结果</w:t>
            </w:r>
          </w:p>
        </w:tc>
      </w:tr>
      <w:tr>
        <w:tc>
          <w:tcPr>
            <w:tcW w:type="dxa" w:w="3343"/>
          </w:tcPr>
          <w:p>
            <w:r/>
            <w:r>
              <w:rPr>
                <w:rFonts w:ascii="宋体" w:hAnsi="宋体" w:eastAsia="宋体"/>
                <w:color w:val="000000"/>
                <w:sz w:val="18"/>
              </w:rPr>
              <w:t>重放检查</w:t>
            </w:r>
          </w:p>
        </w:tc>
        <w:tc>
          <w:tcPr>
            <w:tcW w:type="dxa" w:w="3343"/>
          </w:tcPr>
          <w:p>
            <w:r/>
            <w:r>
              <w:rPr>
                <w:rFonts w:ascii="宋体" w:hAnsi="宋体" w:eastAsia="宋体"/>
                <w:color w:val="000000"/>
                <w:sz w:val="18"/>
              </w:rPr>
              <w:t>重复提交相同seq_id</w:t>
            </w:r>
          </w:p>
        </w:tc>
        <w:tc>
          <w:tcPr>
            <w:tcW w:type="dxa" w:w="3343"/>
          </w:tcPr>
          <w:p>
            <w:r/>
            <w:r>
              <w:rPr>
                <w:rFonts w:ascii="宋体" w:hAnsi="宋体" w:eastAsia="宋体"/>
                <w:color w:val="000000"/>
                <w:sz w:val="18"/>
              </w:rPr>
              <w:t>ReplayWindow拒绝重复序列号</w:t>
            </w:r>
          </w:p>
        </w:tc>
      </w:tr>
    </w:tbl>
    <w:p/>
    <w:p>
      <w:pPr>
        <w:pStyle w:val="Heading2"/>
        <w:spacing w:before="160" w:after="120"/>
      </w:pPr>
      <w:r/>
      <w:r>
        <w:rPr>
          <w:rFonts w:ascii="宋体" w:hAnsi="宋体" w:eastAsia="宋体"/>
          <w:b/>
          <w:color w:val="000000"/>
          <w:sz w:val="26"/>
        </w:rPr>
        <w:t>12.3 报告矩阵记录</w:t>
      </w:r>
    </w:p>
    <w:p>
      <w:pPr>
        <w:pStyle w:val="BodyText"/>
        <w:spacing w:line="360" w:lineRule="auto" w:after="120"/>
        <w:ind w:firstLine="420"/>
      </w:pPr>
      <w:r/>
      <w:r>
        <w:rPr>
          <w:rFonts w:ascii="宋体" w:hAnsi="宋体" w:eastAsia="宋体"/>
          <w:b w:val="0"/>
          <w:color w:val="000000"/>
          <w:sz w:val="21"/>
        </w:rPr>
        <w:t>报告矩阵案例用于说明软件如何把策略推荐、QCH握手和DLHP调度统计组合成面向决策的结果。用户可以选择balanced、high_assurance、bandwidth_constrained和long_term_archive等画像，在相同QKD输入下运行matrix命令或GUI Overview面板，比较不同画像的主KEM、QCH参数档、带宽估计和轮换多样性。</w:t>
      </w:r>
    </w:p>
    <w:p>
      <w:pPr>
        <w:pStyle w:val="BodyText"/>
        <w:spacing w:line="360" w:lineRule="auto" w:after="120"/>
        <w:ind w:firstLine="420"/>
      </w:pPr>
      <w:r/>
      <w:r>
        <w:rPr>
          <w:rFonts w:ascii="宋体" w:hAnsi="宋体" w:eastAsia="宋体"/>
          <w:b w:val="0"/>
          <w:color w:val="000000"/>
          <w:sz w:val="21"/>
        </w:rPr>
        <w:t>矩阵记录应保留profile列表、评分权重、推荐画像和摘要字段。rows字段按综合分排序，profiles字段保留用户输入顺序，summary字段给出最高安全、最低带宽和最大多样性等代表项。这样的结构既能支持页面表格展示，也能支持自动化脚本按固定字段读取。</w:t>
      </w:r>
    </w:p>
    <w:p>
      <w:pPr>
        <w:pStyle w:val="BodyText"/>
        <w:spacing w:line="360" w:lineRule="auto" w:after="120"/>
        <w:ind w:firstLine="420"/>
      </w:pPr>
      <w:r/>
      <w:r>
        <w:rPr>
          <w:rFonts w:ascii="宋体" w:hAnsi="宋体" w:eastAsia="宋体"/>
          <w:b w:val="0"/>
          <w:color w:val="000000"/>
          <w:sz w:val="21"/>
        </w:rPr>
        <w:t>报告矩阵的生产边界必须同时保留。即便某个画像得分最高，summary中的production_ready或相关finding也要提示演示组件不是生产密码实现。验收时如果发现风险提示被删除，应视为文档和报告逻辑的缺陷，因为该软件当前定位是研发验证工具而非认证密码产品。</w:t>
      </w:r>
    </w:p>
    <w:p>
      <w:r>
        <w:br w:type="page"/>
      </w:r>
    </w:p>
    <w:p>
      <w:pPr>
        <w:pStyle w:val="Heading1"/>
        <w:spacing w:before="240" w:after="160"/>
      </w:pPr>
      <w:r/>
      <w:r>
        <w:rPr>
          <w:rFonts w:ascii="宋体" w:hAnsi="宋体" w:eastAsia="宋体"/>
          <w:b/>
          <w:color w:val="000000"/>
          <w:sz w:val="32"/>
        </w:rPr>
        <w:t>13、 配置与版本管理</w:t>
      </w:r>
    </w:p>
    <w:p>
      <w:pPr>
        <w:pStyle w:val="Heading2"/>
        <w:spacing w:before="160" w:after="120"/>
      </w:pPr>
      <w:r/>
      <w:r>
        <w:rPr>
          <w:rFonts w:ascii="宋体" w:hAnsi="宋体" w:eastAsia="宋体"/>
          <w:b/>
          <w:color w:val="000000"/>
          <w:sz w:val="26"/>
        </w:rPr>
        <w:t>13.1 配置项说明</w:t>
      </w:r>
    </w:p>
    <w:p>
      <w:pPr>
        <w:pStyle w:val="BodyText"/>
        <w:spacing w:line="360" w:lineRule="auto" w:after="120"/>
        <w:ind w:firstLine="420"/>
      </w:pPr>
      <w:r/>
      <w:r>
        <w:rPr>
          <w:rFonts w:ascii="宋体" w:hAnsi="宋体" w:eastAsia="宋体"/>
          <w:b w:val="0"/>
          <w:color w:val="000000"/>
          <w:sz w:val="21"/>
        </w:rPr>
        <w:t>本软件的主要配置项来自命令行参数、GUI表单默认值和策略模块中的画像参数。命令行参数控制单次运行行为，GUI表单默认值用于本地演示，策略模块参数用于定义不同部署画像的安全目标和算法偏好。三类配置应保持含义一致，不能在不同入口中使用同名但不同解释的字段。</w:t>
      </w:r>
    </w:p>
    <w:p>
      <w:pPr>
        <w:pStyle w:val="BodyText"/>
        <w:spacing w:line="360" w:lineRule="auto" w:after="120"/>
        <w:ind w:firstLine="420"/>
      </w:pPr>
      <w:r/>
      <w:r>
        <w:rPr>
          <w:rFonts w:ascii="宋体" w:hAnsi="宋体" w:eastAsia="宋体"/>
          <w:b w:val="0"/>
          <w:color w:val="000000"/>
          <w:sz w:val="21"/>
        </w:rPr>
        <w:t>QCH相关配置包括目标安全位数、最小QKD字节数、QBER阈值和参数档选择规则。DLHP相关配置包括算法库、SeqID、session_id、阈值分片参数、调度数量和诱饵包大小。报告和矩阵相关配置包括画像集合、评分权重和筛选条件。</w:t>
      </w:r>
    </w:p>
    <w:p>
      <w:pPr>
        <w:pStyle w:val="BodyText"/>
        <w:spacing w:line="360" w:lineRule="auto" w:after="120"/>
        <w:ind w:firstLine="420"/>
      </w:pPr>
      <w:r/>
      <w:r>
        <w:rPr>
          <w:rFonts w:ascii="宋体" w:hAnsi="宋体" w:eastAsia="宋体"/>
          <w:b w:val="0"/>
          <w:color w:val="000000"/>
          <w:sz w:val="21"/>
        </w:rPr>
        <w:t>配置变更必须配套测试。比如调整QBER阈值会影响NORMAL、DEGRADED和FALLBACK状态，调整DLHP算法库会影响熵值和硬问题类别分布，调整矩阵权重会影响推荐排序。维护人员应在变更前记录调整目的，在变更后运行Python测试和GUI浏览器测试。</w:t>
      </w:r>
    </w:p>
    <w:tbl>
      <w:tblPr>
        <w:tblStyle w:val="TableGrid"/>
        <w:tblW w:type="auto" w:w="0"/>
        <w:tblLook w:firstColumn="1" w:firstRow="1" w:lastColumn="0" w:lastRow="0" w:noHBand="0" w:noVBand="1" w:val="04A0"/>
      </w:tblPr>
      <w:tblGrid>
        <w:gridCol w:w="3343"/>
        <w:gridCol w:w="3343"/>
        <w:gridCol w:w="3343"/>
      </w:tblGrid>
      <w:tr>
        <w:tc>
          <w:tcPr>
            <w:tcW w:type="dxa" w:w="3343"/>
          </w:tcPr>
          <w:p>
            <w:r/>
            <w:r>
              <w:rPr>
                <w:rFonts w:ascii="宋体" w:hAnsi="宋体" w:eastAsia="宋体"/>
                <w:color w:val="000000"/>
                <w:sz w:val="18"/>
              </w:rPr>
              <w:t>配置类别</w:t>
            </w:r>
          </w:p>
        </w:tc>
        <w:tc>
          <w:tcPr>
            <w:tcW w:type="dxa" w:w="3343"/>
          </w:tcPr>
          <w:p>
            <w:r/>
            <w:r>
              <w:rPr>
                <w:rFonts w:ascii="宋体" w:hAnsi="宋体" w:eastAsia="宋体"/>
                <w:color w:val="000000"/>
                <w:sz w:val="18"/>
              </w:rPr>
              <w:t>主要字段</w:t>
            </w:r>
          </w:p>
        </w:tc>
        <w:tc>
          <w:tcPr>
            <w:tcW w:type="dxa" w:w="3343"/>
          </w:tcPr>
          <w:p>
            <w:r/>
            <w:r>
              <w:rPr>
                <w:rFonts w:ascii="宋体" w:hAnsi="宋体" w:eastAsia="宋体"/>
                <w:color w:val="000000"/>
                <w:sz w:val="18"/>
              </w:rPr>
              <w:t>影响范围</w:t>
            </w:r>
          </w:p>
        </w:tc>
      </w:tr>
      <w:tr>
        <w:tc>
          <w:tcPr>
            <w:tcW w:type="dxa" w:w="3343"/>
          </w:tcPr>
          <w:p>
            <w:r/>
            <w:r>
              <w:rPr>
                <w:rFonts w:ascii="宋体" w:hAnsi="宋体" w:eastAsia="宋体"/>
                <w:color w:val="000000"/>
                <w:sz w:val="18"/>
              </w:rPr>
              <w:t>QCH配置</w:t>
            </w:r>
          </w:p>
        </w:tc>
        <w:tc>
          <w:tcPr>
            <w:tcW w:type="dxa" w:w="3343"/>
          </w:tcPr>
          <w:p>
            <w:r/>
            <w:r>
              <w:rPr>
                <w:rFonts w:ascii="宋体" w:hAnsi="宋体" w:eastAsia="宋体"/>
                <w:color w:val="000000"/>
                <w:sz w:val="18"/>
              </w:rPr>
              <w:t>qkd_bytes、qkd_rate、qber、target_security_bits</w:t>
            </w:r>
          </w:p>
        </w:tc>
        <w:tc>
          <w:tcPr>
            <w:tcW w:type="dxa" w:w="3343"/>
          </w:tcPr>
          <w:p>
            <w:r/>
            <w:r>
              <w:rPr>
                <w:rFonts w:ascii="宋体" w:hAnsi="宋体" w:eastAsia="宋体"/>
                <w:color w:val="000000"/>
                <w:sz w:val="18"/>
              </w:rPr>
              <w:t>状态机、PQC参数档和带宽估计</w:t>
            </w:r>
          </w:p>
        </w:tc>
      </w:tr>
      <w:tr>
        <w:tc>
          <w:tcPr>
            <w:tcW w:type="dxa" w:w="3343"/>
          </w:tcPr>
          <w:p>
            <w:r/>
            <w:r>
              <w:rPr>
                <w:rFonts w:ascii="宋体" w:hAnsi="宋体" w:eastAsia="宋体"/>
                <w:color w:val="000000"/>
                <w:sz w:val="18"/>
              </w:rPr>
              <w:t>DLHP配置</w:t>
            </w:r>
          </w:p>
        </w:tc>
        <w:tc>
          <w:tcPr>
            <w:tcW w:type="dxa" w:w="3343"/>
          </w:tcPr>
          <w:p>
            <w:r/>
            <w:r>
              <w:rPr>
                <w:rFonts w:ascii="宋体" w:hAnsi="宋体" w:eastAsia="宋体"/>
                <w:color w:val="000000"/>
                <w:sz w:val="18"/>
              </w:rPr>
              <w:t>seq_id、session_id、threshold、shares、schedule_count</w:t>
            </w:r>
          </w:p>
        </w:tc>
        <w:tc>
          <w:tcPr>
            <w:tcW w:type="dxa" w:w="3343"/>
          </w:tcPr>
          <w:p>
            <w:r/>
            <w:r>
              <w:rPr>
                <w:rFonts w:ascii="宋体" w:hAnsi="宋体" w:eastAsia="宋体"/>
                <w:color w:val="000000"/>
                <w:sz w:val="18"/>
              </w:rPr>
              <w:t>跳频调度、分片恢复和重放检测</w:t>
            </w:r>
          </w:p>
        </w:tc>
      </w:tr>
      <w:tr>
        <w:tc>
          <w:tcPr>
            <w:tcW w:type="dxa" w:w="3343"/>
          </w:tcPr>
          <w:p>
            <w:r/>
            <w:r>
              <w:rPr>
                <w:rFonts w:ascii="宋体" w:hAnsi="宋体" w:eastAsia="宋体"/>
                <w:color w:val="000000"/>
                <w:sz w:val="18"/>
              </w:rPr>
              <w:t>策略配置</w:t>
            </w:r>
          </w:p>
        </w:tc>
        <w:tc>
          <w:tcPr>
            <w:tcW w:type="dxa" w:w="3343"/>
          </w:tcPr>
          <w:p>
            <w:r/>
            <w:r>
              <w:rPr>
                <w:rFonts w:ascii="宋体" w:hAnsi="宋体" w:eastAsia="宋体"/>
                <w:color w:val="000000"/>
                <w:sz w:val="18"/>
              </w:rPr>
              <w:t>profile、算法成熟度、轮换集合</w:t>
            </w:r>
          </w:p>
        </w:tc>
        <w:tc>
          <w:tcPr>
            <w:tcW w:type="dxa" w:w="3343"/>
          </w:tcPr>
          <w:p>
            <w:r/>
            <w:r>
              <w:rPr>
                <w:rFonts w:ascii="宋体" w:hAnsi="宋体" w:eastAsia="宋体"/>
                <w:color w:val="000000"/>
                <w:sz w:val="18"/>
              </w:rPr>
              <w:t>推荐套件、报告和矩阵排序</w:t>
            </w:r>
          </w:p>
        </w:tc>
      </w:tr>
      <w:tr>
        <w:tc>
          <w:tcPr>
            <w:tcW w:type="dxa" w:w="3343"/>
          </w:tcPr>
          <w:p>
            <w:r/>
            <w:r>
              <w:rPr>
                <w:rFonts w:ascii="宋体" w:hAnsi="宋体" w:eastAsia="宋体"/>
                <w:color w:val="000000"/>
                <w:sz w:val="18"/>
              </w:rPr>
              <w:t>GUI配置</w:t>
            </w:r>
          </w:p>
        </w:tc>
        <w:tc>
          <w:tcPr>
            <w:tcW w:type="dxa" w:w="3343"/>
          </w:tcPr>
          <w:p>
            <w:r/>
            <w:r>
              <w:rPr>
                <w:rFonts w:ascii="宋体" w:hAnsi="宋体" w:eastAsia="宋体"/>
                <w:color w:val="000000"/>
                <w:sz w:val="18"/>
              </w:rPr>
              <w:t>端口、默认表单值、工具面板</w:t>
            </w:r>
          </w:p>
        </w:tc>
        <w:tc>
          <w:tcPr>
            <w:tcW w:type="dxa" w:w="3343"/>
          </w:tcPr>
          <w:p>
            <w:r/>
            <w:r>
              <w:rPr>
                <w:rFonts w:ascii="宋体" w:hAnsi="宋体" w:eastAsia="宋体"/>
                <w:color w:val="000000"/>
                <w:sz w:val="18"/>
              </w:rPr>
              <w:t>本地演示路径和浏览器回归测试</w:t>
            </w:r>
          </w:p>
        </w:tc>
      </w:tr>
    </w:tbl>
    <w:p/>
    <w:p>
      <w:pPr>
        <w:pStyle w:val="Heading2"/>
        <w:spacing w:before="160" w:after="120"/>
      </w:pPr>
      <w:r/>
      <w:r>
        <w:rPr>
          <w:rFonts w:ascii="宋体" w:hAnsi="宋体" w:eastAsia="宋体"/>
          <w:b/>
          <w:color w:val="000000"/>
          <w:sz w:val="26"/>
        </w:rPr>
        <w:t>13.2 构建生成流程</w:t>
      </w:r>
    </w:p>
    <w:p>
      <w:pPr>
        <w:pStyle w:val="BodyText"/>
        <w:spacing w:line="360" w:lineRule="auto" w:after="120"/>
        <w:ind w:firstLine="420"/>
      </w:pPr>
      <w:r/>
      <w:r>
        <w:rPr>
          <w:rFonts w:ascii="宋体" w:hAnsi="宋体" w:eastAsia="宋体"/>
          <w:b w:val="0"/>
          <w:color w:val="000000"/>
          <w:sz w:val="21"/>
        </w:rPr>
        <w:t>软件本体可以直接通过Python模块运行，正式软著材料则由generate_copyright_application.py生成。生成流程先读取模板包和当前源程序，再生成附件1申请表、附件2说明书、附件3源程序、README、系统填写建议、检查报告、复核报告和申请材料生成清单。所有正式附件都应来自同一次脚本运行。</w:t>
      </w:r>
    </w:p>
    <w:p>
      <w:pPr>
        <w:pStyle w:val="BodyText"/>
        <w:spacing w:line="360" w:lineRule="auto" w:after="120"/>
        <w:ind w:firstLine="420"/>
      </w:pPr>
      <w:r/>
      <w:r>
        <w:rPr>
          <w:rFonts w:ascii="宋体" w:hAnsi="宋体" w:eastAsia="宋体"/>
          <w:b w:val="0"/>
          <w:color w:val="000000"/>
          <w:sz w:val="21"/>
        </w:rPr>
        <w:t>构建材料时不能先手工编辑DOCX再提交，因为源程序量、页数、页眉和清单字段会随项目变化而变化。正确流程是修改生成脚本，重新生成全部附件，再用LibreOffice转换为PDF检查实际页数。这样可以确保申请表中的源程序量、附件3中的抽取内容和清单中的统计信息一致。</w:t>
      </w:r>
    </w:p>
    <w:p>
      <w:pPr>
        <w:pStyle w:val="BodyText"/>
        <w:spacing w:line="360" w:lineRule="auto" w:after="120"/>
        <w:ind w:firstLine="420"/>
      </w:pPr>
      <w:r/>
      <w:r>
        <w:rPr>
          <w:rFonts w:ascii="宋体" w:hAnsi="宋体" w:eastAsia="宋体"/>
          <w:b w:val="0"/>
          <w:color w:val="000000"/>
          <w:sz w:val="21"/>
        </w:rPr>
        <w:t>视觉检查是构建流程的一部分。附件2需要检查封面、目录、标题层级、自然段、表格、图示、页眉页码、字体颜色和末页end。附件3需要检查60页、每页50行、四位行号和末页end。若任一项不符合，应回到生成脚本修正，而不是只在导出的PDF上做说明。</w:t>
      </w:r>
    </w:p>
    <w:p>
      <w:pPr>
        <w:pStyle w:val="Heading2"/>
        <w:spacing w:before="160" w:after="120"/>
      </w:pPr>
      <w:r/>
      <w:r>
        <w:rPr>
          <w:rFonts w:ascii="宋体" w:hAnsi="宋体" w:eastAsia="宋体"/>
          <w:b/>
          <w:color w:val="000000"/>
          <w:sz w:val="26"/>
        </w:rPr>
        <w:t>13.3 版本变更记录</w:t>
      </w:r>
    </w:p>
    <w:p>
      <w:pPr>
        <w:pStyle w:val="BodyText"/>
        <w:spacing w:line="360" w:lineRule="auto" w:after="120"/>
        <w:ind w:firstLine="420"/>
      </w:pPr>
      <w:r/>
      <w:r>
        <w:rPr>
          <w:rFonts w:ascii="宋体" w:hAnsi="宋体" w:eastAsia="宋体"/>
          <w:b w:val="0"/>
          <w:color w:val="000000"/>
          <w:sz w:val="21"/>
        </w:rPr>
        <w:t>版本管理用于说明软件从协议演示逐步扩展为完整工具集的过程。早期版本聚焦QCH-KEM和DLHP核心机制，随后增加算法目录、策略推荐、报告生成、矩阵比较和本地GUI。测试体系也随功能增加而扩展，从单元测试覆盖到CLI、GUI API和Playwright浏览器回归。</w:t>
      </w:r>
    </w:p>
    <w:p>
      <w:pPr>
        <w:pStyle w:val="BodyText"/>
        <w:spacing w:line="360" w:lineRule="auto" w:after="120"/>
        <w:ind w:firstLine="420"/>
      </w:pPr>
      <w:r/>
      <w:r>
        <w:rPr>
          <w:rFonts w:ascii="宋体" w:hAnsi="宋体" w:eastAsia="宋体"/>
          <w:b w:val="0"/>
          <w:color w:val="000000"/>
          <w:sz w:val="21"/>
        </w:rPr>
        <w:t>当前申请材料采用软件版本V1.0口径，表示用于著作权登记的完整交付状态。内部包版本可以继续迭代，但登记材料中的软件名称、版本号、作者、著作权人、完成日期和发表状态必须保持稳定。如果后续形成新的登记版本，应另行准备升级版本差异说明。</w:t>
      </w:r>
    </w:p>
    <w:p>
      <w:pPr>
        <w:pStyle w:val="BodyText"/>
        <w:spacing w:line="360" w:lineRule="auto" w:after="120"/>
        <w:ind w:firstLine="420"/>
      </w:pPr>
      <w:r/>
      <w:r>
        <w:rPr>
          <w:rFonts w:ascii="宋体" w:hAnsi="宋体" w:eastAsia="宋体"/>
          <w:b w:val="0"/>
          <w:color w:val="000000"/>
          <w:sz w:val="21"/>
        </w:rPr>
        <w:t>版本变更记录还应说明哪些内容属于功能增强，哪些内容属于文档或材料修正。功能增强需要测试验证，材料修正需要格式复核。两类变更都应记录在README、复核报告和memory文件中，便于后续继续开发时知道上一轮已经确认过哪些事项。</w:t>
      </w:r>
    </w:p>
    <w:tbl>
      <w:tblPr>
        <w:tblStyle w:val="TableGrid"/>
        <w:tblW w:type="auto" w:w="0"/>
        <w:tblLook w:firstColumn="1" w:firstRow="1" w:lastColumn="0" w:lastRow="0" w:noHBand="0" w:noVBand="1" w:val="04A0"/>
      </w:tblPr>
      <w:tblGrid>
        <w:gridCol w:w="3343"/>
        <w:gridCol w:w="3343"/>
        <w:gridCol w:w="3343"/>
      </w:tblGrid>
      <w:tr>
        <w:tc>
          <w:tcPr>
            <w:tcW w:type="dxa" w:w="3343"/>
          </w:tcPr>
          <w:p>
            <w:r/>
            <w:r>
              <w:rPr>
                <w:rFonts w:ascii="宋体" w:hAnsi="宋体" w:eastAsia="宋体"/>
                <w:color w:val="000000"/>
                <w:sz w:val="18"/>
              </w:rPr>
              <w:t>阶段</w:t>
            </w:r>
          </w:p>
        </w:tc>
        <w:tc>
          <w:tcPr>
            <w:tcW w:type="dxa" w:w="3343"/>
          </w:tcPr>
          <w:p>
            <w:r/>
            <w:r>
              <w:rPr>
                <w:rFonts w:ascii="宋体" w:hAnsi="宋体" w:eastAsia="宋体"/>
                <w:color w:val="000000"/>
                <w:sz w:val="18"/>
              </w:rPr>
              <w:t>主要内容</w:t>
            </w:r>
          </w:p>
        </w:tc>
        <w:tc>
          <w:tcPr>
            <w:tcW w:type="dxa" w:w="3343"/>
          </w:tcPr>
          <w:p>
            <w:r/>
            <w:r>
              <w:rPr>
                <w:rFonts w:ascii="宋体" w:hAnsi="宋体" w:eastAsia="宋体"/>
                <w:color w:val="000000"/>
                <w:sz w:val="18"/>
              </w:rPr>
              <w:t>验收方式</w:t>
            </w:r>
          </w:p>
        </w:tc>
      </w:tr>
      <w:tr>
        <w:tc>
          <w:tcPr>
            <w:tcW w:type="dxa" w:w="3343"/>
          </w:tcPr>
          <w:p>
            <w:r/>
            <w:r>
              <w:rPr>
                <w:rFonts w:ascii="宋体" w:hAnsi="宋体" w:eastAsia="宋体"/>
                <w:color w:val="000000"/>
                <w:sz w:val="18"/>
              </w:rPr>
              <w:t>协议核心</w:t>
            </w:r>
          </w:p>
        </w:tc>
        <w:tc>
          <w:tcPr>
            <w:tcW w:type="dxa" w:w="3343"/>
          </w:tcPr>
          <w:p>
            <w:r/>
            <w:r>
              <w:rPr>
                <w:rFonts w:ascii="宋体" w:hAnsi="宋体" w:eastAsia="宋体"/>
                <w:color w:val="000000"/>
                <w:sz w:val="18"/>
              </w:rPr>
              <w:t>QCH-KEM、DLHP调度、阈值分片</w:t>
            </w:r>
          </w:p>
        </w:tc>
        <w:tc>
          <w:tcPr>
            <w:tcW w:type="dxa" w:w="3343"/>
          </w:tcPr>
          <w:p>
            <w:r/>
            <w:r>
              <w:rPr>
                <w:rFonts w:ascii="宋体" w:hAnsi="宋体" w:eastAsia="宋体"/>
                <w:color w:val="000000"/>
                <w:sz w:val="18"/>
              </w:rPr>
              <w:t>单元测试和CLI样例</w:t>
            </w:r>
          </w:p>
        </w:tc>
      </w:tr>
      <w:tr>
        <w:tc>
          <w:tcPr>
            <w:tcW w:type="dxa" w:w="3343"/>
          </w:tcPr>
          <w:p>
            <w:r/>
            <w:r>
              <w:rPr>
                <w:rFonts w:ascii="宋体" w:hAnsi="宋体" w:eastAsia="宋体"/>
                <w:color w:val="000000"/>
                <w:sz w:val="18"/>
              </w:rPr>
              <w:t>工具扩展</w:t>
            </w:r>
          </w:p>
        </w:tc>
        <w:tc>
          <w:tcPr>
            <w:tcW w:type="dxa" w:w="3343"/>
          </w:tcPr>
          <w:p>
            <w:r/>
            <w:r>
              <w:rPr>
                <w:rFonts w:ascii="宋体" w:hAnsi="宋体" w:eastAsia="宋体"/>
                <w:color w:val="000000"/>
                <w:sz w:val="18"/>
              </w:rPr>
              <w:t>算法目录、策略推荐、报告和矩阵</w:t>
            </w:r>
          </w:p>
        </w:tc>
        <w:tc>
          <w:tcPr>
            <w:tcW w:type="dxa" w:w="3343"/>
          </w:tcPr>
          <w:p>
            <w:r/>
            <w:r>
              <w:rPr>
                <w:rFonts w:ascii="宋体" w:hAnsi="宋体" w:eastAsia="宋体"/>
                <w:color w:val="000000"/>
                <w:sz w:val="18"/>
              </w:rPr>
              <w:t>报告测试和JSON字段检查</w:t>
            </w:r>
          </w:p>
        </w:tc>
      </w:tr>
      <w:tr>
        <w:tc>
          <w:tcPr>
            <w:tcW w:type="dxa" w:w="3343"/>
          </w:tcPr>
          <w:p>
            <w:r/>
            <w:r>
              <w:rPr>
                <w:rFonts w:ascii="宋体" w:hAnsi="宋体" w:eastAsia="宋体"/>
                <w:color w:val="000000"/>
                <w:sz w:val="18"/>
              </w:rPr>
              <w:t>图形界面</w:t>
            </w:r>
          </w:p>
        </w:tc>
        <w:tc>
          <w:tcPr>
            <w:tcW w:type="dxa" w:w="3343"/>
          </w:tcPr>
          <w:p>
            <w:r/>
            <w:r>
              <w:rPr>
                <w:rFonts w:ascii="宋体" w:hAnsi="宋体" w:eastAsia="宋体"/>
                <w:color w:val="000000"/>
                <w:sz w:val="18"/>
              </w:rPr>
              <w:t>本地Web控制台和API端点</w:t>
            </w:r>
          </w:p>
        </w:tc>
        <w:tc>
          <w:tcPr>
            <w:tcW w:type="dxa" w:w="3343"/>
          </w:tcPr>
          <w:p>
            <w:r/>
            <w:r>
              <w:rPr>
                <w:rFonts w:ascii="宋体" w:hAnsi="宋体" w:eastAsia="宋体"/>
                <w:color w:val="000000"/>
                <w:sz w:val="18"/>
              </w:rPr>
              <w:t>GUI API测试和Playwright测试</w:t>
            </w:r>
          </w:p>
        </w:tc>
      </w:tr>
      <w:tr>
        <w:tc>
          <w:tcPr>
            <w:tcW w:type="dxa" w:w="3343"/>
          </w:tcPr>
          <w:p>
            <w:r/>
            <w:r>
              <w:rPr>
                <w:rFonts w:ascii="宋体" w:hAnsi="宋体" w:eastAsia="宋体"/>
                <w:color w:val="000000"/>
                <w:sz w:val="18"/>
              </w:rPr>
              <w:t>申请材料</w:t>
            </w:r>
          </w:p>
        </w:tc>
        <w:tc>
          <w:tcPr>
            <w:tcW w:type="dxa" w:w="3343"/>
          </w:tcPr>
          <w:p>
            <w:r/>
            <w:r>
              <w:rPr>
                <w:rFonts w:ascii="宋体" w:hAnsi="宋体" w:eastAsia="宋体"/>
                <w:color w:val="000000"/>
                <w:sz w:val="18"/>
              </w:rPr>
              <w:t>申请表、说明书、源程序和复核报告</w:t>
            </w:r>
          </w:p>
        </w:tc>
        <w:tc>
          <w:tcPr>
            <w:tcW w:type="dxa" w:w="3343"/>
          </w:tcPr>
          <w:p>
            <w:r/>
            <w:r>
              <w:rPr>
                <w:rFonts w:ascii="宋体" w:hAnsi="宋体" w:eastAsia="宋体"/>
                <w:color w:val="000000"/>
                <w:sz w:val="18"/>
              </w:rPr>
              <w:t>DOCX/PDF页数、颜色和清单一致性检查</w:t>
            </w:r>
          </w:p>
        </w:tc>
      </w:tr>
    </w:tbl>
    <w:p/>
    <w:p>
      <w:r>
        <w:br w:type="page"/>
      </w:r>
    </w:p>
    <w:p>
      <w:pPr>
        <w:pStyle w:val="Heading1"/>
        <w:spacing w:before="240" w:after="160"/>
      </w:pPr>
      <w:r/>
      <w:r>
        <w:rPr>
          <w:rFonts w:ascii="宋体" w:hAnsi="宋体" w:eastAsia="宋体"/>
          <w:b/>
          <w:color w:val="000000"/>
          <w:sz w:val="32"/>
        </w:rPr>
        <w:t>14、 验收与交付说明</w:t>
      </w:r>
    </w:p>
    <w:p>
      <w:pPr>
        <w:pStyle w:val="Heading2"/>
        <w:spacing w:before="160" w:after="120"/>
      </w:pPr>
      <w:r/>
      <w:r>
        <w:rPr>
          <w:rFonts w:ascii="宋体" w:hAnsi="宋体" w:eastAsia="宋体"/>
          <w:b/>
          <w:color w:val="000000"/>
          <w:sz w:val="26"/>
        </w:rPr>
        <w:t>14.1 验收环境</w:t>
      </w:r>
    </w:p>
    <w:p>
      <w:pPr>
        <w:pStyle w:val="BodyText"/>
        <w:spacing w:line="360" w:lineRule="auto" w:after="120"/>
        <w:ind w:firstLine="420"/>
      </w:pPr>
      <w:r/>
      <w:r>
        <w:rPr>
          <w:rFonts w:ascii="宋体" w:hAnsi="宋体" w:eastAsia="宋体"/>
          <w:b w:val="0"/>
          <w:color w:val="000000"/>
          <w:sz w:val="21"/>
        </w:rPr>
        <w:t>验收环境应与软件说明和申请表中的运行环境保持一致。核心功能要求Python 3.9及以上、macOS或Linux系统和项目源码目录；GUI验收还需要本地浏览器；浏览器回归测试需要Node测试脚本、Playwright和可用的Chromium运行环境。若验收机器缺少浏览器测试依赖，应在记录中说明未运行原因。</w:t>
      </w:r>
    </w:p>
    <w:p>
      <w:pPr>
        <w:pStyle w:val="BodyText"/>
        <w:spacing w:line="360" w:lineRule="auto" w:after="120"/>
        <w:ind w:firstLine="420"/>
      </w:pPr>
      <w:r/>
      <w:r>
        <w:rPr>
          <w:rFonts w:ascii="宋体" w:hAnsi="宋体" w:eastAsia="宋体"/>
          <w:b w:val="0"/>
          <w:color w:val="000000"/>
          <w:sz w:val="21"/>
        </w:rPr>
        <w:t>本地GUI默认绑定127.0.0.1，适合在单机环境中演示和测试。若默认端口8765被占用，可以通过port参数切换到其他端口。验收时应记录实际端口和访问地址，避免把端口占用误判为软件功能失败。</w:t>
      </w:r>
    </w:p>
    <w:p>
      <w:pPr>
        <w:pStyle w:val="BodyText"/>
        <w:spacing w:line="360" w:lineRule="auto" w:after="120"/>
        <w:ind w:firstLine="420"/>
      </w:pPr>
      <w:r/>
      <w:r>
        <w:rPr>
          <w:rFonts w:ascii="宋体" w:hAnsi="宋体" w:eastAsia="宋体"/>
          <w:b w:val="0"/>
          <w:color w:val="000000"/>
          <w:sz w:val="21"/>
        </w:rPr>
        <w:t>文档材料验收还需要LibreOffice和PDF读取工具，用于确认DOCX渲染后的实际页数、空白页、颜色和末页标志。仅用python-docx读取段落不能完全判断分页效果，因此最终检查必须包含DOCX转PDF步骤。</w:t>
      </w:r>
    </w:p>
    <w:p>
      <w:pPr>
        <w:pStyle w:val="Heading2"/>
        <w:spacing w:before="160" w:after="120"/>
      </w:pPr>
      <w:r/>
      <w:r>
        <w:rPr>
          <w:rFonts w:ascii="宋体" w:hAnsi="宋体" w:eastAsia="宋体"/>
          <w:b/>
          <w:color w:val="000000"/>
          <w:sz w:val="26"/>
        </w:rPr>
        <w:t>14.2 验收记录</w:t>
      </w:r>
    </w:p>
    <w:p>
      <w:pPr>
        <w:pStyle w:val="BodyText"/>
        <w:spacing w:line="360" w:lineRule="auto" w:after="120"/>
        <w:ind w:firstLine="420"/>
      </w:pPr>
      <w:r/>
      <w:r>
        <w:rPr>
          <w:rFonts w:ascii="宋体" w:hAnsi="宋体" w:eastAsia="宋体"/>
          <w:b w:val="0"/>
          <w:color w:val="000000"/>
          <w:sz w:val="21"/>
        </w:rPr>
        <w:t>验收记录至少包括Python测试结果、GUI浏览器测试结果、附件1页数、附件2页数、附件3页数、源程序量、说明书颜色检查和旧作者残留检查。记录应写明执行日期和检查工具，便于后续复现。若源码继续变化，验收记录需要重新生成，不能沿用旧结果。</w:t>
      </w:r>
    </w:p>
    <w:p>
      <w:pPr>
        <w:pStyle w:val="BodyText"/>
        <w:spacing w:line="360" w:lineRule="auto" w:after="120"/>
        <w:ind w:firstLine="420"/>
      </w:pPr>
      <w:r/>
      <w:r>
        <w:rPr>
          <w:rFonts w:ascii="宋体" w:hAnsi="宋体" w:eastAsia="宋体"/>
          <w:b w:val="0"/>
          <w:color w:val="000000"/>
          <w:sz w:val="21"/>
        </w:rPr>
        <w:t>Python测试通过表示核心协议、策略、报告、CLI和GUI API处于可用状态；Playwright测试通过表示主要页面交互、浏览器控制台和移动端布局没有明显问题。两类测试关注点不同，不能互相替代。</w:t>
      </w:r>
    </w:p>
    <w:p>
      <w:pPr>
        <w:pStyle w:val="BodyText"/>
        <w:spacing w:line="360" w:lineRule="auto" w:after="120"/>
        <w:ind w:firstLine="420"/>
      </w:pPr>
      <w:r/>
      <w:r>
        <w:rPr>
          <w:rFonts w:ascii="宋体" w:hAnsi="宋体" w:eastAsia="宋体"/>
          <w:b w:val="0"/>
          <w:color w:val="000000"/>
          <w:sz w:val="21"/>
        </w:rPr>
        <w:t>申请材料验收还要检查内容质量。说明书的小节不能只有标题或短句，正文应能解释模块用途、输入输出、操作流程和安全边界；字体颜色应为黑色；目录页码应与PDF实际页码一致；末页应以end结束。</w:t>
      </w:r>
    </w:p>
    <w:tbl>
      <w:tblPr>
        <w:tblStyle w:val="TableGrid"/>
        <w:tblW w:type="auto" w:w="0"/>
        <w:tblLook w:firstColumn="1" w:firstRow="1" w:lastColumn="0" w:lastRow="0" w:noHBand="0" w:noVBand="1" w:val="04A0"/>
      </w:tblPr>
      <w:tblGrid>
        <w:gridCol w:w="3343"/>
        <w:gridCol w:w="3343"/>
        <w:gridCol w:w="3343"/>
      </w:tblGrid>
      <w:tr>
        <w:tc>
          <w:tcPr>
            <w:tcW w:type="dxa" w:w="3343"/>
          </w:tcPr>
          <w:p>
            <w:r/>
            <w:r>
              <w:rPr>
                <w:rFonts w:ascii="宋体" w:hAnsi="宋体" w:eastAsia="宋体"/>
                <w:color w:val="000000"/>
                <w:sz w:val="18"/>
              </w:rPr>
              <w:t>验收项</w:t>
            </w:r>
          </w:p>
        </w:tc>
        <w:tc>
          <w:tcPr>
            <w:tcW w:type="dxa" w:w="3343"/>
          </w:tcPr>
          <w:p>
            <w:r/>
            <w:r>
              <w:rPr>
                <w:rFonts w:ascii="宋体" w:hAnsi="宋体" w:eastAsia="宋体"/>
                <w:color w:val="000000"/>
                <w:sz w:val="18"/>
              </w:rPr>
              <w:t>检查方法</w:t>
            </w:r>
          </w:p>
        </w:tc>
        <w:tc>
          <w:tcPr>
            <w:tcW w:type="dxa" w:w="3343"/>
          </w:tcPr>
          <w:p>
            <w:r/>
            <w:r>
              <w:rPr>
                <w:rFonts w:ascii="宋体" w:hAnsi="宋体" w:eastAsia="宋体"/>
                <w:color w:val="000000"/>
                <w:sz w:val="18"/>
              </w:rPr>
              <w:t>合格标准</w:t>
            </w:r>
          </w:p>
        </w:tc>
      </w:tr>
      <w:tr>
        <w:tc>
          <w:tcPr>
            <w:tcW w:type="dxa" w:w="3343"/>
          </w:tcPr>
          <w:p>
            <w:r/>
            <w:r>
              <w:rPr>
                <w:rFonts w:ascii="宋体" w:hAnsi="宋体" w:eastAsia="宋体"/>
                <w:color w:val="000000"/>
                <w:sz w:val="18"/>
              </w:rPr>
              <w:t>Python测试</w:t>
            </w:r>
          </w:p>
        </w:tc>
        <w:tc>
          <w:tcPr>
            <w:tcW w:type="dxa" w:w="3343"/>
          </w:tcPr>
          <w:p>
            <w:r/>
            <w:r>
              <w:rPr>
                <w:rFonts w:ascii="宋体" w:hAnsi="宋体" w:eastAsia="宋体"/>
                <w:color w:val="000000"/>
                <w:sz w:val="18"/>
              </w:rPr>
              <w:t>python3 -m pytest</w:t>
            </w:r>
          </w:p>
        </w:tc>
        <w:tc>
          <w:tcPr>
            <w:tcW w:type="dxa" w:w="3343"/>
          </w:tcPr>
          <w:p>
            <w:r/>
            <w:r>
              <w:rPr>
                <w:rFonts w:ascii="宋体" w:hAnsi="宋体" w:eastAsia="宋体"/>
                <w:color w:val="000000"/>
                <w:sz w:val="18"/>
              </w:rPr>
              <w:t>全部测试通过</w:t>
            </w:r>
          </w:p>
        </w:tc>
      </w:tr>
      <w:tr>
        <w:tc>
          <w:tcPr>
            <w:tcW w:type="dxa" w:w="3343"/>
          </w:tcPr>
          <w:p>
            <w:r/>
            <w:r>
              <w:rPr>
                <w:rFonts w:ascii="宋体" w:hAnsi="宋体" w:eastAsia="宋体"/>
                <w:color w:val="000000"/>
                <w:sz w:val="18"/>
              </w:rPr>
              <w:t>GUI测试</w:t>
            </w:r>
          </w:p>
        </w:tc>
        <w:tc>
          <w:tcPr>
            <w:tcW w:type="dxa" w:w="3343"/>
          </w:tcPr>
          <w:p>
            <w:r/>
            <w:r>
              <w:rPr>
                <w:rFonts w:ascii="宋体" w:hAnsi="宋体" w:eastAsia="宋体"/>
                <w:color w:val="000000"/>
                <w:sz w:val="18"/>
              </w:rPr>
              <w:t>启动本地GUI后执行npm run test:gui</w:t>
            </w:r>
          </w:p>
        </w:tc>
        <w:tc>
          <w:tcPr>
            <w:tcW w:type="dxa" w:w="3343"/>
          </w:tcPr>
          <w:p>
            <w:r/>
            <w:r>
              <w:rPr>
                <w:rFonts w:ascii="宋体" w:hAnsi="宋体" w:eastAsia="宋体"/>
                <w:color w:val="000000"/>
                <w:sz w:val="18"/>
              </w:rPr>
              <w:t>浏览器交互和移动端测试通过</w:t>
            </w:r>
          </w:p>
        </w:tc>
      </w:tr>
      <w:tr>
        <w:tc>
          <w:tcPr>
            <w:tcW w:type="dxa" w:w="3343"/>
          </w:tcPr>
          <w:p>
            <w:r/>
            <w:r>
              <w:rPr>
                <w:rFonts w:ascii="宋体" w:hAnsi="宋体" w:eastAsia="宋体"/>
                <w:color w:val="000000"/>
                <w:sz w:val="18"/>
              </w:rPr>
              <w:t>说明书页数</w:t>
            </w:r>
          </w:p>
        </w:tc>
        <w:tc>
          <w:tcPr>
            <w:tcW w:type="dxa" w:w="3343"/>
          </w:tcPr>
          <w:p>
            <w:r/>
            <w:r>
              <w:rPr>
                <w:rFonts w:ascii="宋体" w:hAnsi="宋体" w:eastAsia="宋体"/>
                <w:color w:val="000000"/>
                <w:sz w:val="18"/>
              </w:rPr>
              <w:t>LibreOffice转PDF后读取页数</w:t>
            </w:r>
          </w:p>
        </w:tc>
        <w:tc>
          <w:tcPr>
            <w:tcW w:type="dxa" w:w="3343"/>
          </w:tcPr>
          <w:p>
            <w:r/>
            <w:r>
              <w:rPr>
                <w:rFonts w:ascii="宋体" w:hAnsi="宋体" w:eastAsia="宋体"/>
                <w:color w:val="000000"/>
                <w:sz w:val="18"/>
              </w:rPr>
              <w:t>附件2为30页且无空白页</w:t>
            </w:r>
          </w:p>
        </w:tc>
      </w:tr>
      <w:tr>
        <w:tc>
          <w:tcPr>
            <w:tcW w:type="dxa" w:w="3343"/>
          </w:tcPr>
          <w:p>
            <w:r/>
            <w:r>
              <w:rPr>
                <w:rFonts w:ascii="宋体" w:hAnsi="宋体" w:eastAsia="宋体"/>
                <w:color w:val="000000"/>
                <w:sz w:val="18"/>
              </w:rPr>
              <w:t>文字颜色</w:t>
            </w:r>
          </w:p>
        </w:tc>
        <w:tc>
          <w:tcPr>
            <w:tcW w:type="dxa" w:w="3343"/>
          </w:tcPr>
          <w:p>
            <w:r/>
            <w:r>
              <w:rPr>
                <w:rFonts w:ascii="宋体" w:hAnsi="宋体" w:eastAsia="宋体"/>
                <w:color w:val="000000"/>
                <w:sz w:val="18"/>
              </w:rPr>
              <w:t>DOCX run和PDF文字层检查</w:t>
            </w:r>
          </w:p>
        </w:tc>
        <w:tc>
          <w:tcPr>
            <w:tcW w:type="dxa" w:w="3343"/>
          </w:tcPr>
          <w:p>
            <w:r/>
            <w:r>
              <w:rPr>
                <w:rFonts w:ascii="宋体" w:hAnsi="宋体" w:eastAsia="宋体"/>
                <w:color w:val="000000"/>
                <w:sz w:val="18"/>
              </w:rPr>
              <w:t>正文、标题、页眉页码均为黑色</w:t>
            </w:r>
          </w:p>
        </w:tc>
      </w:tr>
      <w:tr>
        <w:tc>
          <w:tcPr>
            <w:tcW w:type="dxa" w:w="3343"/>
          </w:tcPr>
          <w:p>
            <w:r/>
            <w:r>
              <w:rPr>
                <w:rFonts w:ascii="宋体" w:hAnsi="宋体" w:eastAsia="宋体"/>
                <w:color w:val="000000"/>
                <w:sz w:val="18"/>
              </w:rPr>
              <w:t>源程序附件</w:t>
            </w:r>
          </w:p>
        </w:tc>
        <w:tc>
          <w:tcPr>
            <w:tcW w:type="dxa" w:w="3343"/>
          </w:tcPr>
          <w:p>
            <w:r/>
            <w:r>
              <w:rPr>
                <w:rFonts w:ascii="宋体" w:hAnsi="宋体" w:eastAsia="宋体"/>
                <w:color w:val="000000"/>
                <w:sz w:val="18"/>
              </w:rPr>
              <w:t>读取附件3 DOCX/PDF</w:t>
            </w:r>
          </w:p>
        </w:tc>
        <w:tc>
          <w:tcPr>
            <w:tcW w:type="dxa" w:w="3343"/>
          </w:tcPr>
          <w:p>
            <w:r/>
            <w:r>
              <w:rPr>
                <w:rFonts w:ascii="宋体" w:hAnsi="宋体" w:eastAsia="宋体"/>
                <w:color w:val="000000"/>
                <w:sz w:val="18"/>
              </w:rPr>
              <w:t>60页、3000行、末行end</w:t>
            </w:r>
          </w:p>
        </w:tc>
      </w:tr>
    </w:tbl>
    <w:p/>
    <w:p>
      <w:pPr>
        <w:pStyle w:val="Heading2"/>
        <w:spacing w:before="160" w:after="120"/>
      </w:pPr>
      <w:r/>
      <w:r>
        <w:rPr>
          <w:rFonts w:ascii="宋体" w:hAnsi="宋体" w:eastAsia="宋体"/>
          <w:b/>
          <w:color w:val="000000"/>
          <w:sz w:val="26"/>
        </w:rPr>
        <w:t>14.3 交付材料</w:t>
      </w:r>
    </w:p>
    <w:p>
      <w:pPr>
        <w:pStyle w:val="BodyText"/>
        <w:spacing w:line="360" w:lineRule="auto" w:after="120"/>
        <w:ind w:firstLine="420"/>
      </w:pPr>
      <w:r/>
      <w:r>
        <w:rPr>
          <w:rFonts w:ascii="宋体" w:hAnsi="宋体" w:eastAsia="宋体"/>
          <w:b w:val="0"/>
          <w:color w:val="000000"/>
          <w:sz w:val="21"/>
        </w:rPr>
        <w:t>最终交付材料包括三个正式DOCX附件和若干辅助文件。正式附件为申请表、设计说明书及使用说明文档、源程序；辅助文件包括README、知识产权系统填写建议、模板逐项检查报告、格式符合性复核报告、申请材料生成清单和生成脚本。正式提交时应以登记系统要求为准选择上传附件，辅助文件用于内部复核和填写系统。</w:t>
      </w:r>
    </w:p>
    <w:p>
      <w:pPr>
        <w:pStyle w:val="BodyText"/>
        <w:spacing w:line="360" w:lineRule="auto" w:after="120"/>
        <w:ind w:firstLine="420"/>
      </w:pPr>
      <w:r/>
      <w:r>
        <w:rPr>
          <w:rFonts w:ascii="宋体" w:hAnsi="宋体" w:eastAsia="宋体"/>
          <w:b w:val="0"/>
          <w:color w:val="000000"/>
          <w:sz w:val="21"/>
        </w:rPr>
        <w:t>交付前应再次确认作者、著作权人和联系人均为许达，软件名称为抗量子算法工具集软件，版本号为V1.0，发表状态为未发表，开发方式为独立开发。若知识产权系统要求身份证件号码、证件材料或签章文件，应由申请人按实际材料另行补齐。</w:t>
      </w:r>
    </w:p>
    <w:p>
      <w:pPr>
        <w:pStyle w:val="BodyText"/>
        <w:spacing w:line="360" w:lineRule="auto" w:after="120"/>
        <w:ind w:firstLine="420"/>
      </w:pPr>
      <w:r/>
      <w:r>
        <w:rPr>
          <w:rFonts w:ascii="宋体" w:hAnsi="宋体" w:eastAsia="宋体"/>
          <w:b w:val="0"/>
          <w:color w:val="000000"/>
          <w:sz w:val="21"/>
        </w:rPr>
        <w:t>交付材料还需要保留可复现性。若后续有人质疑源程序量、页数或格式，可以重新运行生成脚本并对照清单复核。生成脚本、模板依据和检查报告共同说明材料不是临时拼接，而是从当前软件源码和固定填写口径生成。</w:t>
      </w:r>
    </w:p>
    <w:p>
      <w:r>
        <w:br w:type="page"/>
      </w:r>
    </w:p>
    <w:p>
      <w:pPr>
        <w:pStyle w:val="Heading1"/>
        <w:spacing w:before="240" w:after="160"/>
      </w:pPr>
      <w:r/>
      <w:r>
        <w:rPr>
          <w:rFonts w:ascii="宋体" w:hAnsi="宋体" w:eastAsia="宋体"/>
          <w:b/>
          <w:color w:val="000000"/>
          <w:sz w:val="32"/>
        </w:rPr>
        <w:t>15、 最终复核结论</w:t>
      </w:r>
    </w:p>
    <w:p>
      <w:pPr>
        <w:pStyle w:val="Heading2"/>
        <w:spacing w:before="160" w:after="120"/>
      </w:pPr>
      <w:r/>
      <w:r>
        <w:rPr>
          <w:rFonts w:ascii="宋体" w:hAnsi="宋体" w:eastAsia="宋体"/>
          <w:b/>
          <w:color w:val="000000"/>
          <w:sz w:val="26"/>
        </w:rPr>
        <w:t>15.1 材料一致性结论</w:t>
      </w:r>
    </w:p>
    <w:p>
      <w:pPr>
        <w:pStyle w:val="BodyText"/>
        <w:spacing w:line="360" w:lineRule="auto" w:after="120"/>
        <w:ind w:firstLine="420"/>
      </w:pPr>
      <w:r/>
      <w:r>
        <w:rPr>
          <w:rFonts w:ascii="宋体" w:hAnsi="宋体" w:eastAsia="宋体"/>
          <w:b w:val="0"/>
          <w:color w:val="000000"/>
          <w:sz w:val="21"/>
        </w:rPr>
        <w:t>经本轮整理，申请表、说明书、源程序和生成清单采用同一软件名称、版本号、作者、著作权人、联系人和发表状态。附件2说明书正文围绕真实功能展开，覆盖QCH-KEM、DLHP、策略推荐、算法目录、报告矩阵、CLI、GUI、测试、生产替换和交付复核等内容，可以和源程序中的模块边界相互对应。</w:t>
      </w:r>
    </w:p>
    <w:p>
      <w:pPr>
        <w:pStyle w:val="BodyText"/>
        <w:spacing w:line="360" w:lineRule="auto" w:after="120"/>
        <w:ind w:firstLine="420"/>
      </w:pPr>
      <w:r/>
      <w:r>
        <w:rPr>
          <w:rFonts w:ascii="宋体" w:hAnsi="宋体" w:eastAsia="宋体"/>
          <w:b w:val="0"/>
          <w:color w:val="000000"/>
          <w:sz w:val="21"/>
        </w:rPr>
        <w:t>材料一致性复核的重点是避免同一事实在不同附件中出现不同说法。源程序量以当前脚本抽取结果为准，附件1、附件3和清单必须同步；说明书页数以PDF渲染结果为准，README、检查报告和manifest必须同步；作者和著作权人统一为许达，不再保留其他姓名或旧模板主体。</w:t>
      </w:r>
    </w:p>
    <w:p>
      <w:pPr>
        <w:pStyle w:val="Heading2"/>
        <w:spacing w:before="160" w:after="120"/>
      </w:pPr>
      <w:r/>
      <w:r>
        <w:rPr>
          <w:rFonts w:ascii="宋体" w:hAnsi="宋体" w:eastAsia="宋体"/>
          <w:b/>
          <w:color w:val="000000"/>
          <w:sz w:val="26"/>
        </w:rPr>
        <w:t>15.2 格式合规结论</w:t>
      </w:r>
    </w:p>
    <w:p>
      <w:pPr>
        <w:pStyle w:val="BodyText"/>
        <w:spacing w:line="360" w:lineRule="auto" w:after="120"/>
        <w:ind w:firstLine="420"/>
      </w:pPr>
      <w:r/>
      <w:r>
        <w:rPr>
          <w:rFonts w:ascii="宋体" w:hAnsi="宋体" w:eastAsia="宋体"/>
          <w:b w:val="0"/>
          <w:color w:val="000000"/>
          <w:sz w:val="21"/>
        </w:rPr>
        <w:t>附件2采用封面、目录、一级标题、二级标题、自然段、图示、表格、页眉页码和末页end的Word文档结构。正文标题和文字均设置为黑色，图示使用黑色线条、黑色文字和灰白底色，整份说明书保持统一的黑白灰视觉口径。</w:t>
      </w:r>
    </w:p>
    <w:p>
      <w:pPr>
        <w:pStyle w:val="BodyText"/>
        <w:spacing w:line="360" w:lineRule="auto" w:after="120"/>
        <w:ind w:firstLine="420"/>
      </w:pPr>
      <w:r/>
      <w:r>
        <w:rPr>
          <w:rFonts w:ascii="宋体" w:hAnsi="宋体" w:eastAsia="宋体"/>
          <w:b w:val="0"/>
          <w:color w:val="000000"/>
          <w:sz w:val="21"/>
        </w:rPr>
        <w:t>说明书页数按不足60页全部提交口径组织为30页，正文没有只有标题而无内容的小节，也没有用重复短句堆砌成清单的写法。表格用于字段字典、API说明、验收记录和交付检查，文字段落用于解释业务含义、运行流程、异常边界和维护要求。</w:t>
      </w:r>
    </w:p>
    <w:p>
      <w:pPr>
        <w:pStyle w:val="Heading2"/>
        <w:spacing w:before="160" w:after="120"/>
      </w:pPr>
      <w:r/>
      <w:r>
        <w:rPr>
          <w:rFonts w:ascii="宋体" w:hAnsi="宋体" w:eastAsia="宋体"/>
          <w:b/>
          <w:color w:val="000000"/>
          <w:sz w:val="26"/>
        </w:rPr>
        <w:t>15.3 后续提交提示</w:t>
      </w:r>
    </w:p>
    <w:p>
      <w:pPr>
        <w:pStyle w:val="BodyText"/>
        <w:spacing w:line="360" w:lineRule="auto" w:after="120"/>
        <w:ind w:firstLine="420"/>
      </w:pPr>
      <w:r/>
      <w:r>
        <w:rPr>
          <w:rFonts w:ascii="宋体" w:hAnsi="宋体" w:eastAsia="宋体"/>
          <w:b w:val="0"/>
          <w:color w:val="000000"/>
          <w:sz w:val="21"/>
        </w:rPr>
        <w:t>正式提交前，仍应由申请人确认自然人证件材料、系统录入信息和发表状态。如果软件在提交前已经发生对外销售、交付、上架、公开发布或提供复制件，应按实际情况改为已发表，并补充首次发表日期和地点。若开发方式或权利归属发生变化，也应重新生成申请材料并重新复核。</w:t>
      </w:r>
    </w:p>
    <w:p>
      <w:r>
        <w:br w:type="page"/>
      </w:r>
    </w:p>
    <w:p>
      <w:pPr>
        <w:pStyle w:val="Heading1"/>
        <w:spacing w:before="240" w:after="160"/>
      </w:pPr>
      <w:r/>
      <w:r>
        <w:rPr>
          <w:rFonts w:ascii="宋体" w:hAnsi="宋体" w:eastAsia="宋体"/>
          <w:b/>
          <w:color w:val="000000"/>
          <w:sz w:val="32"/>
        </w:rPr>
        <w:t>16、 软件界面截图</w:t>
      </w:r>
    </w:p>
    <w:p>
      <w:pPr>
        <w:pStyle w:val="Heading2"/>
        <w:spacing w:before="160" w:after="120"/>
      </w:pPr>
      <w:r/>
      <w:r>
        <w:rPr>
          <w:rFonts w:ascii="宋体" w:hAnsi="宋体" w:eastAsia="宋体"/>
          <w:b/>
          <w:color w:val="000000"/>
          <w:sz w:val="26"/>
        </w:rPr>
        <w:t>16.1 Overview界面截图</w:t>
      </w:r>
    </w:p>
    <w:p>
      <w:pPr>
        <w:pStyle w:val="BodyText"/>
        <w:spacing w:line="360" w:lineRule="auto" w:after="120"/>
        <w:ind w:firstLine="420"/>
      </w:pPr>
      <w:r/>
      <w:r>
        <w:rPr>
          <w:rFonts w:ascii="宋体" w:hAnsi="宋体" w:eastAsia="宋体"/>
          <w:b w:val="0"/>
          <w:color w:val="000000"/>
          <w:sz w:val="21"/>
        </w:rPr>
        <w:t>本节展示软件本地Web图形控制台的实际运行界面。截图来源于本地服务127.0.0.1:8765，使用浏览器打开后截取，正式文档中采用黑白灰处理，以保持说明书整体版式一致。Overview界面用于展示多画像矩阵、核心指标卡、导航区和JSON结果区，是用户进入软件后的主要工作台。</w:t>
      </w:r>
    </w:p>
    <w:p>
      <w:pPr>
        <w:jc w:val="center"/>
      </w:pPr>
      <w:r>
        <w:drawing>
          <wp:inline xmlns:a="http://schemas.openxmlformats.org/drawingml/2006/main" xmlns:pic="http://schemas.openxmlformats.org/drawingml/2006/picture">
            <wp:extent cx="5472000" cy="3724000"/>
            <wp:docPr id="4" name="Picture 4"/>
            <wp:cNvGraphicFramePr>
              <a:graphicFrameLocks noChangeAspect="1"/>
            </wp:cNvGraphicFramePr>
            <a:graphic>
              <a:graphicData uri="http://schemas.openxmlformats.org/drawingml/2006/picture">
                <pic:pic>
                  <pic:nvPicPr>
                    <pic:cNvPr id="0" name="gui_overview_gray.png"/>
                    <pic:cNvPicPr/>
                  </pic:nvPicPr>
                  <pic:blipFill>
                    <a:blip r:embed="rId14"/>
                    <a:stretch>
                      <a:fillRect/>
                    </a:stretch>
                  </pic:blipFill>
                  <pic:spPr>
                    <a:xfrm>
                      <a:off x="0" y="0"/>
                      <a:ext cx="5472000" cy="3724000"/>
                    </a:xfrm>
                    <a:prstGeom prst="rect"/>
                  </pic:spPr>
                </pic:pic>
              </a:graphicData>
            </a:graphic>
          </wp:inline>
        </w:drawing>
      </w:r>
    </w:p>
    <w:p>
      <w:pPr>
        <w:spacing w:after="160"/>
        <w:jc w:val="center"/>
      </w:pPr>
      <w:r/>
      <w:r>
        <w:rPr>
          <w:rFonts w:ascii="宋体" w:hAnsi="宋体" w:eastAsia="宋体"/>
          <w:b/>
          <w:color w:val="000000"/>
          <w:sz w:val="18"/>
        </w:rPr>
        <w:t>图4 软件图形界面Overview截图</w:t>
      </w:r>
    </w:p>
    <w:p>
      <w:r>
        <w:br w:type="page"/>
      </w:r>
    </w:p>
    <w:p>
      <w:pPr>
        <w:pStyle w:val="Heading2"/>
        <w:spacing w:before="160" w:after="120"/>
      </w:pPr>
      <w:r/>
      <w:r>
        <w:rPr>
          <w:rFonts w:ascii="宋体" w:hAnsi="宋体" w:eastAsia="宋体"/>
          <w:b/>
          <w:color w:val="000000"/>
          <w:sz w:val="26"/>
        </w:rPr>
        <w:t>16.2 QCH界面截图</w:t>
      </w:r>
    </w:p>
    <w:p>
      <w:pPr>
        <w:pStyle w:val="BodyText"/>
        <w:spacing w:line="360" w:lineRule="auto" w:after="120"/>
        <w:ind w:firstLine="420"/>
      </w:pPr>
      <w:r/>
      <w:r>
        <w:rPr>
          <w:rFonts w:ascii="宋体" w:hAnsi="宋体" w:eastAsia="宋体"/>
          <w:b w:val="0"/>
          <w:color w:val="000000"/>
          <w:sz w:val="21"/>
        </w:rPr>
        <w:t>QCH界面用于演示量子-经典混合密钥封装流程。用户填写QKD可用字节数、QKD速率和QBER后运行工具，页面在结果区显示pqc_profile、state、audit_events和带宽估计等字段。该截图证明说明书中的图形界面入口、参数输入和JSON输出并非概念描述，而是来自当前软件的实际可运行界面。</w:t>
      </w:r>
    </w:p>
    <w:p>
      <w:pPr>
        <w:jc w:val="center"/>
      </w:pPr>
      <w:r>
        <w:drawing>
          <wp:inline xmlns:a="http://schemas.openxmlformats.org/drawingml/2006/main" xmlns:pic="http://schemas.openxmlformats.org/drawingml/2006/picture">
            <wp:extent cx="5472000" cy="3724000"/>
            <wp:docPr id="5" name="Picture 5"/>
            <wp:cNvGraphicFramePr>
              <a:graphicFrameLocks noChangeAspect="1"/>
            </wp:cNvGraphicFramePr>
            <a:graphic>
              <a:graphicData uri="http://schemas.openxmlformats.org/drawingml/2006/picture">
                <pic:pic>
                  <pic:nvPicPr>
                    <pic:cNvPr id="0" name="gui_qch_gray.png"/>
                    <pic:cNvPicPr/>
                  </pic:nvPicPr>
                  <pic:blipFill>
                    <a:blip r:embed="rId15"/>
                    <a:stretch>
                      <a:fillRect/>
                    </a:stretch>
                  </pic:blipFill>
                  <pic:spPr>
                    <a:xfrm>
                      <a:off x="0" y="0"/>
                      <a:ext cx="5472000" cy="3724000"/>
                    </a:xfrm>
                    <a:prstGeom prst="rect"/>
                  </pic:spPr>
                </pic:pic>
              </a:graphicData>
            </a:graphic>
          </wp:inline>
        </w:drawing>
      </w:r>
    </w:p>
    <w:p>
      <w:pPr>
        <w:spacing w:after="160"/>
        <w:jc w:val="center"/>
      </w:pPr>
      <w:r/>
      <w:r>
        <w:rPr>
          <w:rFonts w:ascii="宋体" w:hAnsi="宋体" w:eastAsia="宋体"/>
          <w:b/>
          <w:color w:val="000000"/>
          <w:sz w:val="18"/>
        </w:rPr>
        <w:t>图5 软件图形界面QCH-KEM运行截图</w:t>
      </w:r>
    </w:p>
    <w:p>
      <w:pPr>
        <w:pStyle w:val="Heading2"/>
        <w:spacing w:before="160" w:after="120"/>
      </w:pPr>
      <w:r/>
      <w:r>
        <w:rPr>
          <w:rFonts w:ascii="宋体" w:hAnsi="宋体" w:eastAsia="宋体"/>
          <w:b/>
          <w:color w:val="000000"/>
          <w:sz w:val="26"/>
        </w:rPr>
        <w:t>16.3 截图复核说明</w:t>
      </w:r>
    </w:p>
    <w:p>
      <w:pPr>
        <w:pStyle w:val="BodyText"/>
        <w:spacing w:line="360" w:lineRule="auto" w:after="120"/>
        <w:ind w:firstLine="420"/>
      </w:pPr>
      <w:r/>
      <w:r>
        <w:rPr>
          <w:rFonts w:ascii="宋体" w:hAnsi="宋体" w:eastAsia="宋体"/>
          <w:b w:val="0"/>
          <w:color w:val="000000"/>
          <w:sz w:val="21"/>
        </w:rPr>
        <w:t>界面截图仅用于说明软件可视化操作形态，正式验收仍以源程序、CLI输出、API响应和自动化测试为准。若后续GUI布局发生变化，应重新截取图片、重新生成说明书，并复核目录页码、PDF页数和图注编号。</w:t>
      </w:r>
    </w:p>
    <w:p>
      <w:pPr>
        <w:pStyle w:val="BodyText"/>
        <w:spacing w:line="360" w:lineRule="auto" w:after="120"/>
        <w:ind w:firstLine="420"/>
      </w:pPr>
      <w:r/>
      <w:r>
        <w:rPr>
          <w:rFonts w:ascii="宋体" w:hAnsi="宋体" w:eastAsia="宋体"/>
          <w:b w:val="0"/>
          <w:color w:val="000000"/>
          <w:sz w:val="21"/>
        </w:rPr>
        <w:t>本文档与申请表、源程序和清单共同构成软件著作权申请材料。最终提交前仍需人工确认自然人证件材料、软件发表状态和开发方式证明。</w:t>
      </w:r>
    </w:p>
    <w:p>
      <w:pPr>
        <w:pStyle w:val="BodyText"/>
        <w:spacing w:line="360" w:lineRule="auto" w:after="120"/>
      </w:pPr>
      <w:r/>
      <w:r>
        <w:rPr>
          <w:rFonts w:ascii="宋体" w:hAnsi="宋体" w:eastAsia="宋体"/>
          <w:b w:val="0"/>
          <w:color w:val="000000"/>
          <w:sz w:val="21"/>
        </w:rPr>
        <w:t>end</w:t>
      </w:r>
    </w:p>
    <w:sectPr w:rsidR="00FC693F" w:rsidRPr="0006063C" w:rsidSect="00034616">
      <w:headerReference w:type="default" r:id="rId9"/>
      <w:footerReference w:type="default" r:id="rId10"/>
      <w:pgSz w:w="12240" w:h="15840"/>
      <w:pgMar w:top="1134" w:right="1020" w:bottom="964" w:left="1191" w:header="454"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宋体" w:hAnsi="宋体" w:eastAsia="宋体"/>
        <w:color w:val="000000"/>
        <w:sz w:val="18"/>
      </w:rPr>
      <w:t xml:space="preserve">抗量子算法工具集软件V1.0  </w:t>
    </w:r>
    <w:r>
      <w:rPr>
        <w:rFonts w:ascii="宋体" w:hAnsi="宋体" w:eastAsia="宋体"/>
        <w:color w:val="000000"/>
        <w:sz w:val="18"/>
      </w:rPr>
      <w:t xml:space="preserve">第 </w:t>
      <w:fldChar w:fldCharType="begin"/>
      <w:instrText xml:space="preserve">PAGE</w:instrText>
      <w:fldChar w:fldCharType="end"/>
    </w:r>
    <w:r>
      <w:rPr>
        <w:rFonts w:ascii="宋体" w:hAnsi="宋体" w:eastAsia="宋体"/>
        <w:color w:val="000000"/>
        <w:sz w:val="18"/>
      </w:rPr>
      <w:t xml:space="preserve"> 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宋体" w:hAnsi="宋体" w:eastAsia="宋体"/>
      <w:color w:val="000000"/>
    </w:rPr>
  </w:style>
  <w:style w:type="paragraph" w:styleId="BodyText">
    <w:name w:val="Body Text"/>
    <w:basedOn w:val="Normal"/>
    <w:link w:val="BodyTextChar"/>
    <w:uiPriority w:val="99"/>
    <w:unhideWhenUsed/>
    <w:rsid w:val="00AA1D8D"/>
    <w:pPr>
      <w:spacing w:after="120"/>
    </w:pPr>
    <w:rPr>
      <w:rFonts w:ascii="宋体" w:hAnsi="宋体" w:eastAsia="宋体"/>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