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472" w:rsidRDefault="005D0472" w:rsidP="00550122">
      <w:pPr>
        <w:spacing w:line="440" w:lineRule="exact"/>
        <w:ind w:firstLineChars="200" w:firstLine="482"/>
        <w:rPr>
          <w:rFonts w:ascii="times new romans" w:hAnsi="times new romans" w:hint="eastAsia"/>
          <w:sz w:val="24"/>
        </w:rPr>
      </w:pPr>
      <w:r w:rsidRPr="00550122">
        <w:rPr>
          <w:rFonts w:ascii="times new romans" w:hAnsi="times new romans" w:hint="eastAsia"/>
          <w:b/>
          <w:sz w:val="24"/>
        </w:rPr>
        <w:t>表外业务</w:t>
      </w:r>
      <w:r w:rsidRPr="005D0472">
        <w:rPr>
          <w:rFonts w:ascii="times new romans" w:hAnsi="times new romans" w:hint="eastAsia"/>
          <w:sz w:val="24"/>
        </w:rPr>
        <w:t>是指商业银行从事的，按照现行的会计准则不计入资产负债表内，不形成现实资产负债，但能够引起当期损益变动的业务。</w:t>
      </w:r>
      <w:r w:rsidR="00550122">
        <w:rPr>
          <w:rStyle w:val="a4"/>
          <w:rFonts w:ascii="times new romans" w:hAnsi="times new romans" w:hint="eastAsia"/>
          <w:sz w:val="24"/>
        </w:rPr>
        <w:footnoteReference w:id="1"/>
      </w:r>
    </w:p>
    <w:p w:rsidR="00550122" w:rsidRDefault="00550122" w:rsidP="00550122">
      <w:pPr>
        <w:spacing w:line="440" w:lineRule="exact"/>
        <w:ind w:firstLineChars="200" w:firstLine="480"/>
        <w:rPr>
          <w:rFonts w:ascii="times new romans" w:hAnsi="times new romans" w:hint="eastAsia"/>
          <w:sz w:val="24"/>
        </w:rPr>
      </w:pPr>
      <w:r w:rsidRPr="00550122">
        <w:rPr>
          <w:rFonts w:ascii="times new romans" w:hAnsi="times new romans" w:hint="eastAsia"/>
          <w:sz w:val="24"/>
        </w:rPr>
        <w:t>根据表外业务特征和法律关系，表外业务分为</w:t>
      </w:r>
      <w:r w:rsidRPr="00550122">
        <w:rPr>
          <w:rFonts w:ascii="times new romans" w:hAnsi="times new romans" w:hint="eastAsia"/>
          <w:b/>
          <w:sz w:val="24"/>
        </w:rPr>
        <w:t>担保承诺类</w:t>
      </w:r>
      <w:r w:rsidRPr="00550122">
        <w:rPr>
          <w:rFonts w:ascii="times new romans" w:hAnsi="times new romans" w:hint="eastAsia"/>
          <w:sz w:val="24"/>
        </w:rPr>
        <w:t>、代理投融资服务类、中介服务类、其他类等。</w:t>
      </w:r>
    </w:p>
    <w:p w:rsidR="00550122" w:rsidRDefault="00550122" w:rsidP="00550122">
      <w:pPr>
        <w:spacing w:line="440" w:lineRule="exact"/>
        <w:ind w:firstLineChars="200" w:firstLine="480"/>
        <w:rPr>
          <w:rFonts w:ascii="times new romans" w:hAnsi="times new romans" w:hint="eastAsia"/>
          <w:sz w:val="24"/>
        </w:rPr>
      </w:pPr>
      <w:r w:rsidRPr="00550122">
        <w:rPr>
          <w:rFonts w:ascii="times new romans" w:hAnsi="times new romans" w:hint="eastAsia"/>
          <w:sz w:val="24"/>
        </w:rPr>
        <w:t>担保承诺类业务包括担保类、承诺类等按照约定承担偿还责任的业务。担保类业务是指商业银行对第三方承担偿还责任的业务，包括但不限于银行承兑汇票、保函、信用证、信用风险仍在银行的销售与购买协议等。承诺类业务是指商业银行在未来某一日期按照事先约定的条件向客户提供约定的信用业务，包括但不限于贷款承诺等。</w:t>
      </w:r>
    </w:p>
    <w:p w:rsidR="00550122" w:rsidRDefault="00550122" w:rsidP="00550122">
      <w:pPr>
        <w:spacing w:line="440" w:lineRule="exact"/>
        <w:ind w:firstLineChars="200" w:firstLine="480"/>
        <w:rPr>
          <w:rFonts w:ascii="times new romans" w:hAnsi="times new romans" w:hint="eastAsia"/>
          <w:sz w:val="24"/>
        </w:rPr>
      </w:pPr>
      <w:r>
        <w:rPr>
          <w:rFonts w:ascii="times new romans" w:hAnsi="times new romans" w:hint="eastAsia"/>
          <w:sz w:val="24"/>
        </w:rPr>
        <w:t>说明：我分享的文献是关于担保类业务的。</w:t>
      </w:r>
    </w:p>
    <w:p w:rsidR="00A131DE" w:rsidRDefault="00A131DE" w:rsidP="00550122">
      <w:pPr>
        <w:spacing w:line="440" w:lineRule="exact"/>
        <w:ind w:firstLineChars="200" w:firstLine="480"/>
        <w:rPr>
          <w:rFonts w:ascii="times new romans" w:hAnsi="times new romans" w:hint="eastAsia"/>
          <w:sz w:val="24"/>
        </w:rPr>
      </w:pPr>
    </w:p>
    <w:p w:rsidR="00A131DE" w:rsidRDefault="00A131DE" w:rsidP="00550122">
      <w:pPr>
        <w:spacing w:line="440" w:lineRule="exact"/>
        <w:ind w:firstLineChars="200" w:firstLine="480"/>
        <w:rPr>
          <w:rFonts w:ascii="times new romans" w:hAnsi="times new romans" w:hint="eastAsia"/>
          <w:sz w:val="24"/>
        </w:rPr>
      </w:pPr>
      <w:r>
        <w:rPr>
          <w:rFonts w:ascii="times new romans" w:hAnsi="times new romans" w:hint="eastAsia"/>
          <w:sz w:val="24"/>
        </w:rPr>
        <w:t>表外资产的形成来源于表外业务的发展，但并不是所有的表外业务最终都会形成表外资产</w:t>
      </w:r>
      <w:r w:rsidR="00FC310E">
        <w:rPr>
          <w:rFonts w:ascii="times new romans" w:hAnsi="times new romans" w:hint="eastAsia"/>
          <w:sz w:val="24"/>
        </w:rPr>
        <w:t>。表外资产主要来源于</w:t>
      </w:r>
      <w:r w:rsidR="00FC310E" w:rsidRPr="00FC310E">
        <w:rPr>
          <w:rFonts w:ascii="times new romans" w:hAnsi="times new romans" w:hint="eastAsia"/>
          <w:sz w:val="24"/>
        </w:rPr>
        <w:t>担保承诺类</w:t>
      </w:r>
      <w:r w:rsidR="00FC310E" w:rsidRPr="00FC310E">
        <w:rPr>
          <w:rFonts w:ascii="times new romans" w:hAnsi="times new romans" w:hint="eastAsia"/>
          <w:sz w:val="24"/>
        </w:rPr>
        <w:t>表外业务。</w:t>
      </w:r>
      <w:r w:rsidR="00FC310E">
        <w:rPr>
          <w:rStyle w:val="a4"/>
          <w:rFonts w:ascii="times new romans" w:hAnsi="times new romans" w:hint="eastAsia"/>
          <w:sz w:val="24"/>
        </w:rPr>
        <w:footnoteReference w:id="2"/>
      </w:r>
      <w:r w:rsidR="00F5607C">
        <w:rPr>
          <w:rFonts w:ascii="times new romans" w:hAnsi="times new romans" w:hint="eastAsia"/>
          <w:sz w:val="24"/>
        </w:rPr>
        <w:t>（表外资产一般不体现在商业银行资产负债表中）</w:t>
      </w:r>
    </w:p>
    <w:p w:rsidR="00F5607C" w:rsidRDefault="00F5607C" w:rsidP="00550122">
      <w:pPr>
        <w:spacing w:line="440" w:lineRule="exact"/>
        <w:ind w:firstLineChars="200" w:firstLine="480"/>
        <w:rPr>
          <w:rFonts w:ascii="times new romans" w:hAnsi="times new romans" w:hint="eastAsia"/>
          <w:sz w:val="24"/>
        </w:rPr>
      </w:pPr>
    </w:p>
    <w:p w:rsidR="00F5607C" w:rsidRDefault="00C80C0C" w:rsidP="00550122">
      <w:pPr>
        <w:spacing w:line="440" w:lineRule="exact"/>
        <w:ind w:firstLineChars="200" w:firstLine="480"/>
        <w:rPr>
          <w:rFonts w:ascii="times new romans" w:hAnsi="times new romans" w:hint="eastAsia"/>
          <w:sz w:val="24"/>
        </w:rPr>
      </w:pPr>
      <w:r>
        <w:rPr>
          <w:rFonts w:ascii="times new romans" w:hAnsi="times new romans" w:hint="eastAsia"/>
          <w:sz w:val="24"/>
        </w:rPr>
        <w:t>表外业务不一定属于影子银行业务，只是部分表外业务属于影子银行业务</w:t>
      </w:r>
      <w:r w:rsidR="00DB3B43">
        <w:rPr>
          <w:rFonts w:ascii="times new romans" w:hAnsi="times new romans" w:hint="eastAsia"/>
          <w:sz w:val="24"/>
        </w:rPr>
        <w:t>。</w:t>
      </w:r>
    </w:p>
    <w:p w:rsidR="00DB3B43" w:rsidRDefault="00DB3B43" w:rsidP="00550122">
      <w:pPr>
        <w:spacing w:line="440" w:lineRule="exact"/>
        <w:ind w:firstLineChars="200" w:firstLine="480"/>
        <w:rPr>
          <w:rFonts w:ascii="times new romans" w:hAnsi="times new romans" w:hint="eastAsia"/>
          <w:sz w:val="24"/>
        </w:rPr>
      </w:pPr>
    </w:p>
    <w:p w:rsidR="00DB3B43" w:rsidRPr="005D0472" w:rsidRDefault="00023595" w:rsidP="00550122">
      <w:pPr>
        <w:spacing w:line="440" w:lineRule="exact"/>
        <w:ind w:firstLineChars="200" w:firstLine="480"/>
        <w:rPr>
          <w:rFonts w:ascii="times new romans" w:hAnsi="times new romans"/>
          <w:sz w:val="24"/>
        </w:rPr>
      </w:pPr>
      <w:r>
        <w:rPr>
          <w:rFonts w:ascii="times new romans" w:hAnsi="times new romans" w:hint="eastAsia"/>
          <w:sz w:val="24"/>
        </w:rPr>
        <w:t>为规避监管，商业银行利用资产负债表内外的项目进行业务创新，将贷款资产转为影子银行资产，为地方政府融资平台提供资金。（影子银行是地方政府融资平台的资金来源之一</w:t>
      </w:r>
      <w:bookmarkStart w:id="0" w:name="_GoBack"/>
      <w:bookmarkEnd w:id="0"/>
      <w:r>
        <w:rPr>
          <w:rFonts w:ascii="times new romans" w:hAnsi="times new romans" w:hint="eastAsia"/>
          <w:sz w:val="24"/>
        </w:rPr>
        <w:t>）</w:t>
      </w:r>
      <w:r w:rsidRPr="005D0472">
        <w:rPr>
          <w:rFonts w:ascii="times new romans" w:hAnsi="times new romans"/>
          <w:sz w:val="24"/>
        </w:rPr>
        <w:t xml:space="preserve"> </w:t>
      </w:r>
    </w:p>
    <w:p w:rsidR="000D29ED" w:rsidRDefault="000D29ED" w:rsidP="005D0472">
      <w:pPr>
        <w:spacing w:line="440" w:lineRule="exact"/>
        <w:ind w:firstLineChars="200" w:firstLine="480"/>
        <w:rPr>
          <w:rFonts w:ascii="times new romans" w:hAnsi="times new romans" w:hint="eastAsia"/>
          <w:sz w:val="24"/>
        </w:rPr>
      </w:pPr>
    </w:p>
    <w:p w:rsidR="00F5607C" w:rsidRPr="005D0472" w:rsidRDefault="00F5607C" w:rsidP="005D0472">
      <w:pPr>
        <w:spacing w:line="440" w:lineRule="exact"/>
        <w:ind w:firstLineChars="200" w:firstLine="480"/>
        <w:rPr>
          <w:rFonts w:ascii="times new romans" w:hAnsi="times new romans"/>
          <w:sz w:val="24"/>
        </w:rPr>
      </w:pPr>
    </w:p>
    <w:sectPr w:rsidR="00F5607C" w:rsidRPr="005D0472">
      <w:footnotePr>
        <w:numFmt w:val="decimalEnclosedCircleChinese"/>
        <w:numRestart w:val="eachPage"/>
      </w:foot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1033" w:rsidRDefault="004C1033" w:rsidP="00550122">
      <w:r>
        <w:separator/>
      </w:r>
    </w:p>
  </w:endnote>
  <w:endnote w:type="continuationSeparator" w:id="0">
    <w:p w:rsidR="004C1033" w:rsidRDefault="004C1033" w:rsidP="00550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楷体_GB2312">
    <w:altName w:val="楷体"/>
    <w:charset w:val="86"/>
    <w:family w:val="modern"/>
    <w:pitch w:val="default"/>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1033" w:rsidRDefault="004C1033" w:rsidP="00550122">
      <w:r>
        <w:separator/>
      </w:r>
    </w:p>
  </w:footnote>
  <w:footnote w:type="continuationSeparator" w:id="0">
    <w:p w:rsidR="004C1033" w:rsidRDefault="004C1033" w:rsidP="00550122">
      <w:r>
        <w:continuationSeparator/>
      </w:r>
    </w:p>
  </w:footnote>
  <w:footnote w:id="1">
    <w:p w:rsidR="00550122" w:rsidRPr="00550122" w:rsidRDefault="00550122" w:rsidP="00550122">
      <w:pPr>
        <w:pStyle w:val="a3"/>
        <w:rPr>
          <w:rFonts w:hint="eastAsia"/>
        </w:rPr>
      </w:pPr>
      <w:r>
        <w:rPr>
          <w:rStyle w:val="a4"/>
        </w:rPr>
        <w:footnoteRef/>
      </w:r>
      <w:r>
        <w:t xml:space="preserve"> </w:t>
      </w:r>
      <w:r>
        <w:rPr>
          <w:rFonts w:hint="eastAsia"/>
        </w:rPr>
        <w:t>来源：</w:t>
      </w:r>
      <w:r>
        <w:rPr>
          <w:rFonts w:hint="eastAsia"/>
        </w:rPr>
        <w:t>《商业银行表外业务风险管理指引（修订征求意见稿）</w:t>
      </w:r>
      <w:r>
        <w:rPr>
          <w:rFonts w:hint="eastAsia"/>
        </w:rPr>
        <w:t>》</w:t>
      </w:r>
    </w:p>
  </w:footnote>
  <w:footnote w:id="2">
    <w:p w:rsidR="00FC310E" w:rsidRDefault="00FC310E">
      <w:pPr>
        <w:pStyle w:val="a3"/>
        <w:rPr>
          <w:rFonts w:hint="eastAsia"/>
        </w:rPr>
      </w:pPr>
      <w:r>
        <w:rPr>
          <w:rStyle w:val="a4"/>
        </w:rPr>
        <w:footnoteRef/>
      </w:r>
      <w:r>
        <w:t xml:space="preserve"> </w:t>
      </w:r>
      <w:r>
        <w:rPr>
          <w:rFonts w:hint="eastAsia"/>
        </w:rPr>
        <w:t>来源：</w:t>
      </w:r>
      <w:r w:rsidRPr="00FC310E">
        <w:rPr>
          <w:rFonts w:hint="eastAsia"/>
        </w:rPr>
        <w:t>向海燕</w:t>
      </w:r>
      <w:r w:rsidRPr="00FC310E">
        <w:rPr>
          <w:rFonts w:hint="eastAsia"/>
        </w:rPr>
        <w:t xml:space="preserve">, </w:t>
      </w:r>
      <w:r w:rsidRPr="00FC310E">
        <w:rPr>
          <w:rFonts w:hint="eastAsia"/>
        </w:rPr>
        <w:t>冯梦露</w:t>
      </w:r>
      <w:r w:rsidRPr="00FC310E">
        <w:rPr>
          <w:rFonts w:hint="eastAsia"/>
        </w:rPr>
        <w:t xml:space="preserve">. </w:t>
      </w:r>
      <w:r w:rsidRPr="00FC310E">
        <w:rPr>
          <w:rFonts w:hint="eastAsia"/>
        </w:rPr>
        <w:t>商业银行表外资产对其盈利能力影响研究</w:t>
      </w:r>
      <w:r w:rsidRPr="00FC310E">
        <w:rPr>
          <w:rFonts w:hint="eastAsia"/>
        </w:rPr>
        <w:t xml:space="preserve">[J]. </w:t>
      </w:r>
      <w:r w:rsidRPr="00FC310E">
        <w:rPr>
          <w:rFonts w:hint="eastAsia"/>
        </w:rPr>
        <w:t>现代商业</w:t>
      </w:r>
      <w:r w:rsidRPr="00FC310E">
        <w:rPr>
          <w:rFonts w:hint="eastAsia"/>
        </w:rPr>
        <w:t>, 2015(20):192-193.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681D52"/>
    <w:multiLevelType w:val="multilevel"/>
    <w:tmpl w:val="1F681D52"/>
    <w:lvl w:ilvl="0">
      <w:start w:val="1"/>
      <w:numFmt w:val="chineseCountingThousand"/>
      <w:lvlText w:val="第%1条 "/>
      <w:lvlJc w:val="left"/>
      <w:pPr>
        <w:ind w:left="0" w:firstLine="0"/>
      </w:pPr>
      <w:rPr>
        <w:rFonts w:ascii="Times New Roman" w:eastAsia="楷体_GB2312" w:hint="eastAsia"/>
        <w:b w:val="0"/>
        <w:lang w:val="en-US"/>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ADC"/>
    <w:rsid w:val="00023595"/>
    <w:rsid w:val="000D29ED"/>
    <w:rsid w:val="004C1033"/>
    <w:rsid w:val="00550122"/>
    <w:rsid w:val="005D0472"/>
    <w:rsid w:val="007B2ADC"/>
    <w:rsid w:val="00A131DE"/>
    <w:rsid w:val="00C80C0C"/>
    <w:rsid w:val="00DB3B43"/>
    <w:rsid w:val="00F5607C"/>
    <w:rsid w:val="00FC31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semiHidden/>
    <w:unhideWhenUsed/>
    <w:rsid w:val="00550122"/>
    <w:pPr>
      <w:snapToGrid w:val="0"/>
      <w:jc w:val="left"/>
    </w:pPr>
    <w:rPr>
      <w:sz w:val="18"/>
      <w:szCs w:val="18"/>
    </w:rPr>
  </w:style>
  <w:style w:type="character" w:customStyle="1" w:styleId="Char">
    <w:name w:val="脚注文本 Char"/>
    <w:basedOn w:val="a0"/>
    <w:link w:val="a3"/>
    <w:uiPriority w:val="99"/>
    <w:semiHidden/>
    <w:rsid w:val="00550122"/>
    <w:rPr>
      <w:sz w:val="18"/>
      <w:szCs w:val="18"/>
    </w:rPr>
  </w:style>
  <w:style w:type="character" w:styleId="a4">
    <w:name w:val="footnote reference"/>
    <w:basedOn w:val="a0"/>
    <w:uiPriority w:val="99"/>
    <w:semiHidden/>
    <w:unhideWhenUsed/>
    <w:rsid w:val="0055012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semiHidden/>
    <w:unhideWhenUsed/>
    <w:rsid w:val="00550122"/>
    <w:pPr>
      <w:snapToGrid w:val="0"/>
      <w:jc w:val="left"/>
    </w:pPr>
    <w:rPr>
      <w:sz w:val="18"/>
      <w:szCs w:val="18"/>
    </w:rPr>
  </w:style>
  <w:style w:type="character" w:customStyle="1" w:styleId="Char">
    <w:name w:val="脚注文本 Char"/>
    <w:basedOn w:val="a0"/>
    <w:link w:val="a3"/>
    <w:uiPriority w:val="99"/>
    <w:semiHidden/>
    <w:rsid w:val="00550122"/>
    <w:rPr>
      <w:sz w:val="18"/>
      <w:szCs w:val="18"/>
    </w:rPr>
  </w:style>
  <w:style w:type="character" w:styleId="a4">
    <w:name w:val="footnote reference"/>
    <w:basedOn w:val="a0"/>
    <w:uiPriority w:val="99"/>
    <w:semiHidden/>
    <w:unhideWhenUsed/>
    <w:rsid w:val="005501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977177">
      <w:bodyDiv w:val="1"/>
      <w:marLeft w:val="0"/>
      <w:marRight w:val="0"/>
      <w:marTop w:val="0"/>
      <w:marBottom w:val="0"/>
      <w:divBdr>
        <w:top w:val="none" w:sz="0" w:space="0" w:color="auto"/>
        <w:left w:val="none" w:sz="0" w:space="0" w:color="auto"/>
        <w:bottom w:val="none" w:sz="0" w:space="0" w:color="auto"/>
        <w:right w:val="none" w:sz="0" w:space="0" w:color="auto"/>
      </w:divBdr>
    </w:div>
    <w:div w:id="1500656157">
      <w:bodyDiv w:val="1"/>
      <w:marLeft w:val="0"/>
      <w:marRight w:val="0"/>
      <w:marTop w:val="0"/>
      <w:marBottom w:val="0"/>
      <w:divBdr>
        <w:top w:val="none" w:sz="0" w:space="0" w:color="auto"/>
        <w:left w:val="none" w:sz="0" w:space="0" w:color="auto"/>
        <w:bottom w:val="none" w:sz="0" w:space="0" w:color="auto"/>
        <w:right w:val="none" w:sz="0" w:space="0" w:color="auto"/>
      </w:divBdr>
    </w:div>
    <w:div w:id="1664818006">
      <w:bodyDiv w:val="1"/>
      <w:marLeft w:val="0"/>
      <w:marRight w:val="0"/>
      <w:marTop w:val="0"/>
      <w:marBottom w:val="0"/>
      <w:divBdr>
        <w:top w:val="none" w:sz="0" w:space="0" w:color="auto"/>
        <w:left w:val="none" w:sz="0" w:space="0" w:color="auto"/>
        <w:bottom w:val="none" w:sz="0" w:space="0" w:color="auto"/>
        <w:right w:val="none" w:sz="0" w:space="0" w:color="auto"/>
      </w:divBdr>
    </w:div>
    <w:div w:id="2112387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70AF0F-456D-450E-A7CB-9117FB071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71</Words>
  <Characters>406</Characters>
  <Application>Microsoft Office Word</Application>
  <DocSecurity>0</DocSecurity>
  <Lines>3</Lines>
  <Paragraphs>1</Paragraphs>
  <ScaleCrop>false</ScaleCrop>
  <Company/>
  <LinksUpToDate>false</LinksUpToDate>
  <CharactersWithSpaces>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2019-09-29T03:56:00Z</dcterms:created>
  <dcterms:modified xsi:type="dcterms:W3CDTF">2019-09-29T04:38:00Z</dcterms:modified>
</cp:coreProperties>
</file>