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81839" w:rsidRPr="00C81839" w:rsidRDefault="00C81839" w:rsidP="00C81839">
      <w:pPr>
        <w:jc w:val="center"/>
        <w:rPr>
          <w:b/>
          <w:sz w:val="30"/>
          <w:szCs w:val="30"/>
        </w:rPr>
      </w:pPr>
      <w:r w:rsidRPr="00C81839">
        <w:rPr>
          <w:b/>
          <w:sz w:val="30"/>
          <w:szCs w:val="30"/>
        </w:rPr>
        <w:t>6 利用Direct3D绘制几何体</w:t>
      </w:r>
    </w:p>
    <w:p w:rsidR="00AA7E37" w:rsidRPr="00912A5C" w:rsidRDefault="00EB3187" w:rsidP="00AA7E37">
      <w:pPr>
        <w:rPr>
          <w:b/>
          <w:color w:val="70AD47" w:themeColor="accent6"/>
        </w:rPr>
      </w:pPr>
      <w:r>
        <w:rPr>
          <w:b/>
          <w:color w:val="70AD47" w:themeColor="accent6"/>
        </w:rPr>
        <w:t>1</w:t>
      </w:r>
      <w:r>
        <w:rPr>
          <w:rFonts w:hint="eastAsia"/>
          <w:b/>
          <w:color w:val="70AD47" w:themeColor="accent6"/>
        </w:rPr>
        <w:t>，</w:t>
      </w:r>
      <w:r w:rsidR="00AA7E37" w:rsidRPr="00912A5C">
        <w:rPr>
          <w:b/>
          <w:color w:val="70AD47" w:themeColor="accent6"/>
        </w:rPr>
        <w:t>顶点与输入布局</w:t>
      </w:r>
    </w:p>
    <w:p w:rsidR="00AA7E37" w:rsidRDefault="00AA7E37" w:rsidP="00AA7E37">
      <w:r>
        <w:t>为了构建自定义的顶点格式，我们首先要创建</w:t>
      </w:r>
      <w:r w:rsidR="00887C4E">
        <w:rPr>
          <w:rFonts w:hint="eastAsia"/>
        </w:rPr>
        <w:t>结构体：</w:t>
      </w:r>
    </w:p>
    <w:p w:rsidR="00AA7E37" w:rsidRDefault="00AA7E37" w:rsidP="00AA7E37">
      <w:r>
        <w:t>struct Vertex1{</w:t>
      </w:r>
    </w:p>
    <w:p w:rsidR="00AA7E37" w:rsidRDefault="00AA7E37" w:rsidP="00AA7E37">
      <w:r>
        <w:tab/>
        <w:t>XMFLOAT3 Pos;</w:t>
      </w:r>
    </w:p>
    <w:p w:rsidR="00AA7E37" w:rsidRDefault="00AA7E37" w:rsidP="00AA7E37">
      <w:r>
        <w:tab/>
        <w:t>XMFLOAT4 Color;</w:t>
      </w:r>
    </w:p>
    <w:p w:rsidR="00AA7E37" w:rsidRDefault="00AA7E37" w:rsidP="00AA7E37">
      <w:r>
        <w:t>}</w:t>
      </w:r>
    </w:p>
    <w:p w:rsidR="004D3F3F" w:rsidRDefault="00AA7E37" w:rsidP="00AA7E37">
      <w:r>
        <w:rPr>
          <w:rFonts w:hint="eastAsia"/>
        </w:rPr>
        <w:t>还需要向</w:t>
      </w:r>
      <w:r>
        <w:t>Direct3D提供该顶点结构体的描述，用结构体</w:t>
      </w:r>
      <w:r w:rsidRPr="00E3096D">
        <w:rPr>
          <w:b/>
          <w:color w:val="FF0000"/>
        </w:rPr>
        <w:t>D3D12_INPUT_LAYOUT_DESC</w:t>
      </w:r>
      <w:r>
        <w:t>来表示。</w:t>
      </w:r>
      <w:r w:rsidR="000F47B0">
        <w:rPr>
          <w:rFonts w:hint="eastAsia"/>
        </w:rPr>
        <w:t>输入布局描述由</w:t>
      </w:r>
      <w:r w:rsidR="00604AB3" w:rsidRPr="00E3096D">
        <w:rPr>
          <w:rFonts w:hint="eastAsia"/>
          <w:b/>
          <w:color w:val="FF0000"/>
        </w:rPr>
        <w:t>D</w:t>
      </w:r>
      <w:r w:rsidR="00604AB3" w:rsidRPr="00E3096D">
        <w:rPr>
          <w:b/>
          <w:color w:val="FF0000"/>
        </w:rPr>
        <w:t>3D12_INPUT_ELEMENT_DESC</w:t>
      </w:r>
      <w:r w:rsidR="00604AB3">
        <w:rPr>
          <w:rFonts w:hint="eastAsia"/>
        </w:rPr>
        <w:t>元素数组</w:t>
      </w:r>
      <w:r w:rsidR="004D3F3F">
        <w:rPr>
          <w:rFonts w:hint="eastAsia"/>
        </w:rPr>
        <w:t>组成。</w:t>
      </w:r>
    </w:p>
    <w:p w:rsidR="00AA7E37" w:rsidRDefault="00AA7E37" w:rsidP="00AA7E37"/>
    <w:p w:rsidR="00AA7E37" w:rsidRPr="009A5D0A" w:rsidRDefault="00B53FE5" w:rsidP="00AA7E37">
      <w:pPr>
        <w:rPr>
          <w:b/>
        </w:rPr>
      </w:pPr>
      <w:r>
        <w:rPr>
          <w:b/>
        </w:rPr>
        <w:t>2</w:t>
      </w:r>
      <w:r>
        <w:rPr>
          <w:rFonts w:hint="eastAsia"/>
          <w:b/>
        </w:rPr>
        <w:t>，</w:t>
      </w:r>
      <w:r w:rsidR="00AA7E37" w:rsidRPr="009A5D0A">
        <w:rPr>
          <w:b/>
        </w:rPr>
        <w:t>顶点缓冲区</w:t>
      </w:r>
    </w:p>
    <w:p w:rsidR="00BA5C52" w:rsidRPr="008E7945" w:rsidRDefault="00AA7E37" w:rsidP="00AA7E37">
      <w:r>
        <w:rPr>
          <w:rFonts w:hint="eastAsia"/>
        </w:rPr>
        <w:t>为了使</w:t>
      </w:r>
      <w:r>
        <w:t>GPU可以访问顶点数组，就需要把它们放置在称为缓冲区的GPU资源(ID3D12Resource)里。我们把存储顶点的缓冲区叫做顶点缓冲区。</w:t>
      </w:r>
    </w:p>
    <w:p w:rsidR="00F44233" w:rsidRDefault="00AA7E37" w:rsidP="00AA7E37">
      <w:r>
        <w:rPr>
          <w:rFonts w:hint="eastAsia"/>
        </w:rPr>
        <w:t>对于静态几何体而言</w:t>
      </w:r>
      <w:r>
        <w:t>(</w:t>
      </w:r>
      <w:r w:rsidR="004A3B32">
        <w:t>即每帧</w:t>
      </w:r>
      <w:r>
        <w:t>不会发生改变的几何体)，我们会将其顶点缓冲区置于默认堆</w:t>
      </w:r>
      <w:r w:rsidR="00475684">
        <w:t>中来优化性能。</w:t>
      </w:r>
    </w:p>
    <w:p w:rsidR="00AA7E37" w:rsidRDefault="00AA7E37" w:rsidP="00AA7E37">
      <w:r>
        <w:t>CPU</w:t>
      </w:r>
      <w:r w:rsidR="009977CD">
        <w:t>不能向默认堆中的顶点缓冲区写入数据。</w:t>
      </w:r>
      <w:r w:rsidR="002237CC">
        <w:t>我们</w:t>
      </w:r>
      <w:r>
        <w:t>要创建一个处于中介位置的上传缓冲区资源。</w:t>
      </w:r>
      <w:r>
        <w:rPr>
          <w:rFonts w:hint="eastAsia"/>
        </w:rPr>
        <w:t>我们通过把资源提交至上传堆，才得以将数据从</w:t>
      </w:r>
      <w:r>
        <w:t>CPU复制到GPU显存中。</w:t>
      </w:r>
    </w:p>
    <w:p w:rsidR="00AA7E37" w:rsidRDefault="00AA7E37" w:rsidP="00AA7E37">
      <w:r>
        <w:rPr>
          <w:rFonts w:hint="eastAsia"/>
        </w:rPr>
        <w:t>为了将顶点缓冲区绑定到渲染流水线上，我们需要给这种资源创建一个顶点缓冲区视图。</w:t>
      </w:r>
      <w:r>
        <w:t>无须为顶点缓冲区视图创建描述符堆。</w:t>
      </w:r>
    </w:p>
    <w:p w:rsidR="00AA7E37" w:rsidRDefault="00AA7E37" w:rsidP="00AA7E37">
      <w:r>
        <w:rPr>
          <w:rFonts w:hint="eastAsia"/>
        </w:rPr>
        <w:t>在顶点缓冲区及其对应的视图创</w:t>
      </w:r>
      <w:r w:rsidR="007F6793">
        <w:rPr>
          <w:rFonts w:hint="eastAsia"/>
        </w:rPr>
        <w:t>建完成后，便可以将它与渲染流水线上的一个输入槽相绑定。我们</w:t>
      </w:r>
      <w:r w:rsidR="0036723C">
        <w:rPr>
          <w:rFonts w:hint="eastAsia"/>
        </w:rPr>
        <w:t>通过</w:t>
      </w:r>
      <w:r w:rsidR="0036723C" w:rsidRPr="006C4CB7">
        <w:rPr>
          <w:b/>
          <w:color w:val="FF0000"/>
        </w:rPr>
        <w:t>IASetVertexBuffers</w:t>
      </w:r>
      <w:r>
        <w:rPr>
          <w:rFonts w:hint="eastAsia"/>
        </w:rPr>
        <w:t>向流水线的输入装配器阶段传递顶点数据。</w:t>
      </w:r>
    </w:p>
    <w:p w:rsidR="00AA7E37" w:rsidRDefault="00AA7E37" w:rsidP="00AA7E37">
      <w:r>
        <w:rPr>
          <w:rFonts w:hint="eastAsia"/>
        </w:rPr>
        <w:t>将顶点缓冲区设置到输入槽并不会对其执行实际的绘制操作，而是仅为顶点数据送至渲染流水线做好准备。通过</w:t>
      </w:r>
      <w:r w:rsidRPr="0092291F">
        <w:rPr>
          <w:b/>
          <w:color w:val="FF0000"/>
        </w:rPr>
        <w:t>DrawInstanced</w:t>
      </w:r>
      <w:r>
        <w:t>方法真正地绘制顶点。</w:t>
      </w:r>
    </w:p>
    <w:p w:rsidR="009E62C4" w:rsidRDefault="009E62C4" w:rsidP="00AA7E37"/>
    <w:p w:rsidR="00AA7E37" w:rsidRPr="009A5D0A" w:rsidRDefault="00AA7E37" w:rsidP="00AA7E37">
      <w:pPr>
        <w:rPr>
          <w:b/>
        </w:rPr>
      </w:pPr>
      <w:r w:rsidRPr="009A5D0A">
        <w:rPr>
          <w:b/>
        </w:rPr>
        <w:t>3</w:t>
      </w:r>
      <w:r w:rsidR="00EC59DE">
        <w:rPr>
          <w:rFonts w:hint="eastAsia"/>
          <w:b/>
        </w:rPr>
        <w:t>，</w:t>
      </w:r>
      <w:r w:rsidRPr="009A5D0A">
        <w:rPr>
          <w:b/>
        </w:rPr>
        <w:t>索引和索引缓冲区</w:t>
      </w:r>
    </w:p>
    <w:p w:rsidR="00AA7E37" w:rsidRDefault="00AA7E37" w:rsidP="00AA7E37">
      <w:r>
        <w:rPr>
          <w:rFonts w:hint="eastAsia"/>
        </w:rPr>
        <w:t>与顶点类似，为了使</w:t>
      </w:r>
      <w:r>
        <w:t>GPU可以访问索引数组，就需要将它们放置于GPU的缓冲区资源内。我们称存储索引的缓冲区为索引缓冲区。</w:t>
      </w:r>
    </w:p>
    <w:p w:rsidR="00AA7E37" w:rsidRDefault="00AA7E37" w:rsidP="00AA7E37">
      <w:r>
        <w:rPr>
          <w:rFonts w:hint="eastAsia"/>
        </w:rPr>
        <w:t>为了使索引缓冲区与渲染流水线绑定，我们需要给索引缓冲区资源创建一个索引缓冲区视图。</w:t>
      </w:r>
      <w:r>
        <w:t>无须为索引缓冲区视图创建描述符堆。</w:t>
      </w:r>
    </w:p>
    <w:p w:rsidR="00AA7E37" w:rsidRDefault="00AA7E37" w:rsidP="00AA7E37">
      <w:r>
        <w:rPr>
          <w:rFonts w:hint="eastAsia"/>
        </w:rPr>
        <w:t>与顶点缓冲区相似，在使用之前，我们需要先将它们绑定到渲染流水线上。通过</w:t>
      </w:r>
      <w:r>
        <w:t>IASetIndexBuffers方法即可将索引缓冲区绑定到输入装配器阶段。</w:t>
      </w:r>
    </w:p>
    <w:p w:rsidR="00AA7E37" w:rsidRDefault="00AA7E37" w:rsidP="00AA7E37">
      <w:r>
        <w:rPr>
          <w:rFonts w:hint="eastAsia"/>
        </w:rPr>
        <w:t>在使用索引时，我们一定要用</w:t>
      </w:r>
      <w:r w:rsidRPr="003072EF">
        <w:rPr>
          <w:b/>
          <w:color w:val="FF0000"/>
        </w:rPr>
        <w:t>DrawIndexedInstanced</w:t>
      </w:r>
      <w:r>
        <w:t>方法代替DrawInstanced方法进行绘制。</w:t>
      </w:r>
    </w:p>
    <w:p w:rsidR="00AA7E37" w:rsidRDefault="00AA7E37" w:rsidP="00AA7E37"/>
    <w:p w:rsidR="00AA7E37" w:rsidRPr="009964C8" w:rsidRDefault="00AE6C83" w:rsidP="00AA7E37">
      <w:pPr>
        <w:rPr>
          <w:rFonts w:hint="eastAsia"/>
          <w:b/>
        </w:rPr>
      </w:pPr>
      <w:r>
        <w:rPr>
          <w:b/>
        </w:rPr>
        <w:t>4</w:t>
      </w:r>
      <w:r>
        <w:rPr>
          <w:rFonts w:hint="eastAsia"/>
          <w:b/>
        </w:rPr>
        <w:t>，</w:t>
      </w:r>
      <w:r w:rsidR="00AA7E37" w:rsidRPr="00C361C9">
        <w:rPr>
          <w:b/>
        </w:rPr>
        <w:t>顶点着色器示例</w:t>
      </w:r>
    </w:p>
    <w:p w:rsidR="00AA7E37" w:rsidRDefault="00AA7E37" w:rsidP="00AA7E37">
      <w:r>
        <w:rPr>
          <w:rFonts w:hint="eastAsia"/>
        </w:rPr>
        <w:t>在</w:t>
      </w:r>
      <w:r>
        <w:t>Dirext3D中，编写着色器的语言为高级着色语言(HLSL)，其语法与C++十分相似，易于学习。一般情况下，着色器通常在以.hlsl为扩展名的文本文件中编写。</w:t>
      </w:r>
    </w:p>
    <w:p w:rsidR="00AA7E37" w:rsidRDefault="00AA7E37" w:rsidP="00AA7E37">
      <w:r>
        <w:t>HLSL没有引用和指针概念，所以需要借助结构体或多个输入参数才能够从函数中返回多个数值。在HLSL中，所有的函数都是内联的。</w:t>
      </w:r>
    </w:p>
    <w:p w:rsidR="00AA7E37" w:rsidRDefault="00AA7E37" w:rsidP="00AA7E37">
      <w:r>
        <w:t>SV_POSITION修饰的顶点着色器输出元素存有齐次裁剪空间中的顶点位置信息。</w:t>
      </w:r>
    </w:p>
    <w:p w:rsidR="00AA7E37" w:rsidRDefault="00AA7E37" w:rsidP="00AA7E37">
      <w:r>
        <w:rPr>
          <w:rFonts w:hint="eastAsia"/>
        </w:rPr>
        <w:t>我们可以把函数的返回类型和输入签名替换为结构体，从而取代过长的参数列表。</w:t>
      </w:r>
    </w:p>
    <w:p w:rsidR="00AA7E37" w:rsidRDefault="00AA7E37" w:rsidP="00AA7E37">
      <w:r>
        <w:rPr>
          <w:rFonts w:hint="eastAsia"/>
        </w:rPr>
        <w:t>如果我们传入的顶点数据与顶点着色器所期望的输入不相符，便会导致错误。</w:t>
      </w:r>
    </w:p>
    <w:p w:rsidR="00AA7E37" w:rsidRDefault="00AA7E37" w:rsidP="00AA7E37"/>
    <w:p w:rsidR="00AA7E37" w:rsidRPr="009160A5" w:rsidRDefault="00DE723B" w:rsidP="00AA7E37">
      <w:pPr>
        <w:rPr>
          <w:b/>
        </w:rPr>
      </w:pPr>
      <w:r>
        <w:rPr>
          <w:b/>
        </w:rPr>
        <w:lastRenderedPageBreak/>
        <w:t>5</w:t>
      </w:r>
      <w:r>
        <w:rPr>
          <w:rFonts w:hint="eastAsia"/>
          <w:b/>
        </w:rPr>
        <w:t>，</w:t>
      </w:r>
      <w:r w:rsidR="00AA7E37" w:rsidRPr="009160A5">
        <w:rPr>
          <w:b/>
        </w:rPr>
        <w:t>像素着色器示例</w:t>
      </w:r>
    </w:p>
    <w:p w:rsidR="00AA7E37" w:rsidRDefault="00AA7E37" w:rsidP="00AA7E37">
      <w:r>
        <w:rPr>
          <w:rFonts w:hint="eastAsia"/>
        </w:rPr>
        <w:t>为了计算三角形中每个像素的属性，我们会在光栅化处理期间对顶点着色器（或几何着色器）输出的顶点属性进行插值。随后，再将这些插值数据传至像素着色器中作为它的输入。</w:t>
      </w:r>
    </w:p>
    <w:p w:rsidR="00AA7E37" w:rsidRDefault="00AA7E37" w:rsidP="00AA7E37">
      <w:r>
        <w:rPr>
          <w:rFonts w:hint="eastAsia"/>
        </w:rPr>
        <w:t>这些输入像素着色器的像素片段有可能最终不会传入或留存在后台缓冲区中。</w:t>
      </w:r>
    </w:p>
    <w:p w:rsidR="00AA7E37" w:rsidRPr="00B9179A" w:rsidRDefault="00AA7E37" w:rsidP="00AA7E37"/>
    <w:p w:rsidR="00AA7E37" w:rsidRPr="009160A5" w:rsidRDefault="009272D7" w:rsidP="00AA7E37">
      <w:pPr>
        <w:rPr>
          <w:b/>
        </w:rPr>
      </w:pPr>
      <w:r>
        <w:rPr>
          <w:b/>
        </w:rPr>
        <w:t>6</w:t>
      </w:r>
      <w:r>
        <w:rPr>
          <w:rFonts w:hint="eastAsia"/>
          <w:b/>
        </w:rPr>
        <w:t>，</w:t>
      </w:r>
      <w:r w:rsidR="00AA7E37" w:rsidRPr="009160A5">
        <w:rPr>
          <w:b/>
        </w:rPr>
        <w:t>常量缓冲区</w:t>
      </w:r>
    </w:p>
    <w:p w:rsidR="00AA7E37" w:rsidRPr="00284733" w:rsidRDefault="000043F2" w:rsidP="00AA7E37">
      <w:pPr>
        <w:rPr>
          <w:b/>
        </w:rPr>
      </w:pPr>
      <w:r>
        <w:rPr>
          <w:b/>
        </w:rPr>
        <w:t>6.1</w:t>
      </w:r>
      <w:r>
        <w:rPr>
          <w:rFonts w:hint="eastAsia"/>
          <w:b/>
        </w:rPr>
        <w:t>，</w:t>
      </w:r>
      <w:r w:rsidR="00AA7E37" w:rsidRPr="00284733">
        <w:rPr>
          <w:b/>
        </w:rPr>
        <w:t>创建常量缓冲区</w:t>
      </w:r>
    </w:p>
    <w:p w:rsidR="00AA7E37" w:rsidRDefault="00AA7E37" w:rsidP="00AA7E37">
      <w:r>
        <w:rPr>
          <w:rFonts w:hint="eastAsia"/>
        </w:rPr>
        <w:t>与顶点缓冲区和索引缓冲区不同的是，常量缓冲区通常由</w:t>
      </w:r>
      <w:r>
        <w:t>CPU每帧更新一次。</w:t>
      </w:r>
      <w:r>
        <w:rPr>
          <w:rFonts w:hint="eastAsia"/>
        </w:rPr>
        <w:t>所以，我们会把常量缓冲区创建到一个上传堆而非默认堆中。</w:t>
      </w:r>
    </w:p>
    <w:p w:rsidR="00AA7E37" w:rsidRDefault="00AA7E37" w:rsidP="00AA7E37">
      <w:r>
        <w:rPr>
          <w:rFonts w:hint="eastAsia"/>
        </w:rPr>
        <w:t>常量缓冲区对硬件也有特别的要求，即常量缓冲区的大小必为硬件最小分配空间</w:t>
      </w:r>
      <w:r>
        <w:t>(256B)的整数倍。</w:t>
      </w:r>
    </w:p>
    <w:p w:rsidR="00AA7E37" w:rsidRDefault="00AA7E37" w:rsidP="00AA7E37"/>
    <w:p w:rsidR="00AA7E37" w:rsidRPr="00221978" w:rsidRDefault="0056334F" w:rsidP="00AA7E37">
      <w:pPr>
        <w:rPr>
          <w:b/>
        </w:rPr>
      </w:pPr>
      <w:r>
        <w:rPr>
          <w:b/>
        </w:rPr>
        <w:t>6.2</w:t>
      </w:r>
      <w:r>
        <w:rPr>
          <w:rFonts w:hint="eastAsia"/>
          <w:b/>
        </w:rPr>
        <w:t>，</w:t>
      </w:r>
      <w:r w:rsidR="00AA7E37" w:rsidRPr="00221978">
        <w:rPr>
          <w:b/>
        </w:rPr>
        <w:t>更新常量缓冲区</w:t>
      </w:r>
    </w:p>
    <w:p w:rsidR="00AA7E37" w:rsidRDefault="00AA7E37" w:rsidP="00AA7E37">
      <w:r>
        <w:rPr>
          <w:rFonts w:hint="eastAsia"/>
        </w:rPr>
        <w:t>由于常量缓冲区是用</w:t>
      </w:r>
      <w:r>
        <w:t>D3D12_HEAP_TYPE_UPLOAD这种堆类型来创建的，所以我们就能通过CPU为常量缓冲区资源更新数据。使用</w:t>
      </w:r>
      <w:r w:rsidRPr="000045D4">
        <w:rPr>
          <w:b/>
          <w:color w:val="FF0000"/>
        </w:rPr>
        <w:t>Map</w:t>
      </w:r>
      <w:r>
        <w:t>方法。</w:t>
      </w:r>
    </w:p>
    <w:p w:rsidR="00D618F3" w:rsidRDefault="00AA7E37" w:rsidP="00AA7E37">
      <w:r>
        <w:rPr>
          <w:rFonts w:hint="eastAsia"/>
        </w:rPr>
        <w:t>我们利用</w:t>
      </w:r>
      <w:r w:rsidR="003350B3" w:rsidRPr="002D009C">
        <w:rPr>
          <w:b/>
          <w:color w:val="FF0000"/>
        </w:rPr>
        <w:t>memcpy</w:t>
      </w:r>
      <w:r w:rsidR="00D618F3">
        <w:t>函数将数据从系统内存复制到常量缓冲区</w:t>
      </w:r>
      <w:r w:rsidR="00D618F3">
        <w:rPr>
          <w:rFonts w:hint="eastAsia"/>
        </w:rPr>
        <w:t>。</w:t>
      </w:r>
    </w:p>
    <w:p w:rsidR="00AA7E37" w:rsidRDefault="00AA7E37" w:rsidP="00AA7E37">
      <w:r>
        <w:rPr>
          <w:rFonts w:hint="eastAsia"/>
        </w:rPr>
        <w:t>当常量缓冲区更新完成后，我们应在释放映射内存之前对其进行</w:t>
      </w:r>
      <w:r w:rsidRPr="00A65031">
        <w:rPr>
          <w:b/>
          <w:color w:val="FF0000"/>
        </w:rPr>
        <w:t>Unmap</w:t>
      </w:r>
      <w:r w:rsidR="00362641">
        <w:t>操作</w:t>
      </w:r>
      <w:r w:rsidR="00362641">
        <w:rPr>
          <w:rFonts w:hint="eastAsia"/>
        </w:rPr>
        <w:t>。</w:t>
      </w:r>
    </w:p>
    <w:p w:rsidR="00AA7E37" w:rsidRDefault="00AA7E37" w:rsidP="00AA7E37">
      <w:pPr>
        <w:rPr>
          <w:rFonts w:hint="eastAsia"/>
        </w:rPr>
      </w:pPr>
    </w:p>
    <w:p w:rsidR="00AA7E37" w:rsidRPr="00284733" w:rsidRDefault="00485356" w:rsidP="00AA7E37">
      <w:pPr>
        <w:rPr>
          <w:b/>
          <w:color w:val="FF0000"/>
        </w:rPr>
      </w:pPr>
      <w:r>
        <w:rPr>
          <w:b/>
          <w:color w:val="FF0000"/>
        </w:rPr>
        <w:t>6.3</w:t>
      </w:r>
      <w:r>
        <w:rPr>
          <w:rFonts w:hint="eastAsia"/>
          <w:b/>
          <w:color w:val="FF0000"/>
        </w:rPr>
        <w:t>，</w:t>
      </w:r>
      <w:r w:rsidR="00AA7E37" w:rsidRPr="00284733">
        <w:rPr>
          <w:b/>
          <w:color w:val="FF0000"/>
        </w:rPr>
        <w:t>根签名和描述符表</w:t>
      </w:r>
    </w:p>
    <w:p w:rsidR="00AA7E37" w:rsidRDefault="00AA7E37" w:rsidP="00AA7E37">
      <w:r>
        <w:rPr>
          <w:rFonts w:hint="eastAsia"/>
        </w:rPr>
        <w:t>在</w:t>
      </w:r>
      <w:r>
        <w:t>Direct3D中，根签名由</w:t>
      </w:r>
      <w:r w:rsidRPr="0091112F">
        <w:rPr>
          <w:b/>
          <w:color w:val="FF0000"/>
        </w:rPr>
        <w:t>ID3D12RootSignature</w:t>
      </w:r>
      <w:r>
        <w:t>接口来表示，并以一组描述绘制调用过程中着色器所需资源的根参数定义而成。</w:t>
      </w:r>
    </w:p>
    <w:p w:rsidR="00AA7E37" w:rsidRDefault="00AA7E37" w:rsidP="00AA7E37">
      <w:r>
        <w:rPr>
          <w:rFonts w:hint="eastAsia"/>
        </w:rPr>
        <w:t>根参数可以是根常量，根描述符或者描述符表。</w:t>
      </w:r>
    </w:p>
    <w:p w:rsidR="00AA7E37" w:rsidRDefault="00AA7E37" w:rsidP="00AA7E37">
      <w:r>
        <w:rPr>
          <w:rFonts w:hint="eastAsia"/>
        </w:rPr>
        <w:t>根签名只定义了应用程序要绑定到渲染流水线的资源，却没有真正地执行任何资源绑定操作。使用</w:t>
      </w:r>
      <w:r w:rsidRPr="00C666DD">
        <w:rPr>
          <w:b/>
          <w:color w:val="FF0000"/>
        </w:rPr>
        <w:t>SetGraphicsRootDescriptorTable</w:t>
      </w:r>
      <w:r>
        <w:t>方法令描述符表与渲染流水线相绑定。</w:t>
      </w:r>
    </w:p>
    <w:p w:rsidR="00AA7E37" w:rsidRDefault="00AA7E37" w:rsidP="00AA7E37"/>
    <w:p w:rsidR="00AA7E37" w:rsidRPr="001213EF" w:rsidRDefault="00EB5CB7" w:rsidP="00AA7E37">
      <w:pPr>
        <w:rPr>
          <w:b/>
          <w:color w:val="70AD47" w:themeColor="accent6"/>
        </w:rPr>
      </w:pPr>
      <w:r>
        <w:rPr>
          <w:b/>
          <w:color w:val="70AD47" w:themeColor="accent6"/>
        </w:rPr>
        <w:t>7</w:t>
      </w:r>
      <w:r>
        <w:rPr>
          <w:rFonts w:hint="eastAsia"/>
          <w:b/>
          <w:color w:val="70AD47" w:themeColor="accent6"/>
        </w:rPr>
        <w:t>，</w:t>
      </w:r>
      <w:r w:rsidR="00AA7E37" w:rsidRPr="001213EF">
        <w:rPr>
          <w:b/>
          <w:color w:val="70AD47" w:themeColor="accent6"/>
        </w:rPr>
        <w:t>编译着色器</w:t>
      </w:r>
    </w:p>
    <w:p w:rsidR="00AA7E37" w:rsidRDefault="00AA7E37" w:rsidP="00AA7E37">
      <w:r>
        <w:rPr>
          <w:rFonts w:hint="eastAsia"/>
        </w:rPr>
        <w:t>在</w:t>
      </w:r>
      <w:r>
        <w:t>Direct3D中，着色器程序必须先被编译为一种可移植的字节码。接下来，图形驱动程序将获取这些字节码，并将其重新编译为针对当前系统GPU所优化的本地指令。</w:t>
      </w:r>
    </w:p>
    <w:p w:rsidR="00AA7E37" w:rsidRDefault="00AA7E37" w:rsidP="00AA7E37">
      <w:r>
        <w:rPr>
          <w:rFonts w:hint="eastAsia"/>
        </w:rPr>
        <w:t>我们可以在运行期间用</w:t>
      </w:r>
      <w:r w:rsidR="000C16F6" w:rsidRPr="00134449">
        <w:rPr>
          <w:b/>
          <w:color w:val="FF0000"/>
        </w:rPr>
        <w:t>D3DCompileFromFile</w:t>
      </w:r>
      <w:r>
        <w:rPr>
          <w:rFonts w:hint="eastAsia"/>
        </w:rPr>
        <w:t>函数对着色器进行编译。仅对着色器进行编译并不会使它与渲染流水线相绑定以供其使用。</w:t>
      </w:r>
    </w:p>
    <w:p w:rsidR="00AA7E37" w:rsidRDefault="00AA7E37" w:rsidP="00AA7E37">
      <w:r>
        <w:t>离线编译</w:t>
      </w:r>
      <w:r w:rsidR="00881941">
        <w:rPr>
          <w:rFonts w:hint="eastAsia"/>
        </w:rPr>
        <w:t>：</w:t>
      </w:r>
    </w:p>
    <w:p w:rsidR="00AA7E37" w:rsidRDefault="005A00CA" w:rsidP="00AA7E37">
      <w:r>
        <w:rPr>
          <w:rFonts w:hint="eastAsia"/>
        </w:rPr>
        <w:t>除了</w:t>
      </w:r>
      <w:r w:rsidR="00613918">
        <w:rPr>
          <w:rFonts w:hint="eastAsia"/>
        </w:rPr>
        <w:t>在运行期间编译着色器，还能</w:t>
      </w:r>
      <w:r w:rsidR="00AA7E37">
        <w:rPr>
          <w:rFonts w:hint="eastAsia"/>
        </w:rPr>
        <w:t>以单独的步骤离线地编译着色器。</w:t>
      </w:r>
    </w:p>
    <w:p w:rsidR="00AA7E37" w:rsidRDefault="00AA7E37" w:rsidP="00AA7E37">
      <w:r>
        <w:rPr>
          <w:rFonts w:hint="eastAsia"/>
        </w:rPr>
        <w:t>为了以离线的方式编译着色器，我们将使用</w:t>
      </w:r>
      <w:r>
        <w:t>DirectX自带的FXC命令行编译工具</w:t>
      </w:r>
      <w:r w:rsidR="00F352FC">
        <w:rPr>
          <w:rFonts w:hint="eastAsia"/>
        </w:rPr>
        <w:t>或者</w:t>
      </w:r>
      <w:r w:rsidR="00F352FC">
        <w:t>Visual Studio离线编译着色器</w:t>
      </w:r>
      <w:r>
        <w:t>。</w:t>
      </w:r>
    </w:p>
    <w:p w:rsidR="00AA7E37" w:rsidRDefault="00284233" w:rsidP="00AA7E37">
      <w:pPr>
        <w:rPr>
          <w:rFonts w:hint="eastAsia"/>
        </w:rPr>
      </w:pPr>
      <w:r>
        <w:rPr>
          <w:rFonts w:hint="eastAsia"/>
        </w:rPr>
        <w:t>我们通常用</w:t>
      </w:r>
      <w:r>
        <w:t>.cso作为已编译着色器的扩展名。</w:t>
      </w:r>
    </w:p>
    <w:p w:rsidR="00631D79" w:rsidRDefault="00631D79" w:rsidP="00631D79">
      <w:r>
        <w:rPr>
          <w:rFonts w:hint="eastAsia"/>
        </w:rPr>
        <w:t>通过查阅着色器的汇编代码，既可核对着色器的指令数量，也能了解生成的代码细节，这是为了验证编译器所生成的代码与我们预想的是否一致。</w:t>
      </w:r>
    </w:p>
    <w:p w:rsidR="00AA7E37" w:rsidRDefault="00AA7E37" w:rsidP="00AA7E37"/>
    <w:p w:rsidR="00AA7E37" w:rsidRPr="007D4D0D" w:rsidRDefault="00F13B59" w:rsidP="00AA7E37">
      <w:pPr>
        <w:rPr>
          <w:b/>
          <w:color w:val="70AD47" w:themeColor="accent6"/>
        </w:rPr>
      </w:pPr>
      <w:r>
        <w:rPr>
          <w:b/>
          <w:color w:val="70AD47" w:themeColor="accent6"/>
        </w:rPr>
        <w:t>8</w:t>
      </w:r>
      <w:r>
        <w:rPr>
          <w:rFonts w:hint="eastAsia"/>
          <w:b/>
          <w:color w:val="70AD47" w:themeColor="accent6"/>
        </w:rPr>
        <w:t>，</w:t>
      </w:r>
      <w:r w:rsidR="00AA7E37" w:rsidRPr="007D4D0D">
        <w:rPr>
          <w:b/>
          <w:color w:val="70AD47" w:themeColor="accent6"/>
        </w:rPr>
        <w:t>光栅器状态</w:t>
      </w:r>
    </w:p>
    <w:p w:rsidR="00AA7E37" w:rsidRDefault="00AA7E37" w:rsidP="00AA7E37">
      <w:r>
        <w:rPr>
          <w:rFonts w:hint="eastAsia"/>
        </w:rPr>
        <w:t>如今渲染流水线中的大多数阶段都是可编程的，但是有些特定环节却只能接受配置。例如，用于配置渲染流水线中光栅化阶段的光栅器状态组由结构体</w:t>
      </w:r>
      <w:r w:rsidRPr="0016549B">
        <w:rPr>
          <w:b/>
          <w:color w:val="FF0000"/>
        </w:rPr>
        <w:t>D3D12_RASTERIZER_DESC</w:t>
      </w:r>
      <w:r>
        <w:t>表示。</w:t>
      </w:r>
    </w:p>
    <w:p w:rsidR="00AA7E37" w:rsidRDefault="00AA7E37" w:rsidP="00AA7E37"/>
    <w:p w:rsidR="00AA7E37" w:rsidRPr="007D4D0D" w:rsidRDefault="0075733D" w:rsidP="00AA7E37">
      <w:pPr>
        <w:rPr>
          <w:b/>
          <w:color w:val="70AD47" w:themeColor="accent6"/>
        </w:rPr>
      </w:pPr>
      <w:r>
        <w:rPr>
          <w:b/>
          <w:color w:val="70AD47" w:themeColor="accent6"/>
        </w:rPr>
        <w:t>9</w:t>
      </w:r>
      <w:r>
        <w:rPr>
          <w:rFonts w:hint="eastAsia"/>
          <w:b/>
          <w:color w:val="70AD47" w:themeColor="accent6"/>
        </w:rPr>
        <w:t>，</w:t>
      </w:r>
      <w:r w:rsidR="00AA7E37" w:rsidRPr="007D4D0D">
        <w:rPr>
          <w:b/>
          <w:color w:val="70AD47" w:themeColor="accent6"/>
        </w:rPr>
        <w:t>流水线状态对象</w:t>
      </w:r>
    </w:p>
    <w:p w:rsidR="00AA7E37" w:rsidRDefault="00AA7E37" w:rsidP="00AA7E37">
      <w:r>
        <w:rPr>
          <w:rFonts w:hint="eastAsia"/>
        </w:rPr>
        <w:lastRenderedPageBreak/>
        <w:t>大多数控制图形流水线状态的对象被统称为流水线状态对象</w:t>
      </w:r>
      <w:r>
        <w:t>(PSO)，用ID3D12PipelineState接口来表示。</w:t>
      </w:r>
    </w:p>
    <w:p w:rsidR="00AA7E37" w:rsidRDefault="00AA7E37" w:rsidP="00AA7E37">
      <w:r>
        <w:rPr>
          <w:rFonts w:hint="eastAsia"/>
        </w:rPr>
        <w:t>并非所有的渲染状态都封装于</w:t>
      </w:r>
      <w:r>
        <w:t>PSO内，如视口和裁剪矩形等属性。</w:t>
      </w:r>
    </w:p>
    <w:p w:rsidR="00AA7E37" w:rsidRDefault="00AA7E37" w:rsidP="00AA7E37">
      <w:r>
        <w:t>Direct3D</w:t>
      </w:r>
      <w:r w:rsidR="002D3E41">
        <w:t>实质上就是一种状态机，里面的事物会保持它们各自状态，</w:t>
      </w:r>
      <w:r w:rsidR="002D3E41">
        <w:rPr>
          <w:rFonts w:hint="eastAsia"/>
        </w:rPr>
        <w:t>直到</w:t>
      </w:r>
      <w:r>
        <w:t>我们将其改变。</w:t>
      </w:r>
    </w:p>
    <w:p w:rsidR="00AA7E37" w:rsidRDefault="00AA7E37" w:rsidP="00AA7E37">
      <w:r>
        <w:rPr>
          <w:rFonts w:hint="eastAsia"/>
        </w:rPr>
        <w:t>如果把一个</w:t>
      </w:r>
      <w:r>
        <w:t>PSO与命令列表相绑定，那么，在我们设置另一个PSO</w:t>
      </w:r>
      <w:r w:rsidR="00723F88">
        <w:t>或</w:t>
      </w:r>
      <w:r w:rsidR="00723F88">
        <w:rPr>
          <w:rFonts w:hint="eastAsia"/>
        </w:rPr>
        <w:t>重置</w:t>
      </w:r>
      <w:r>
        <w:t>命令列表之前，会一直沿用当前的PSO绘制物体。</w:t>
      </w:r>
    </w:p>
    <w:p w:rsidR="00AA7E37" w:rsidRDefault="00AA7E37" w:rsidP="00AA7E37"/>
    <w:p w:rsidR="00E37858" w:rsidRPr="00E279EE" w:rsidRDefault="00E279EE">
      <w:pPr>
        <w:rPr>
          <w:b/>
          <w:color w:val="FF0000"/>
        </w:rPr>
      </w:pPr>
      <w:r>
        <w:rPr>
          <w:b/>
          <w:color w:val="FF0000"/>
        </w:rPr>
        <w:t>10</w:t>
      </w:r>
      <w:r>
        <w:rPr>
          <w:rFonts w:hint="eastAsia"/>
          <w:b/>
          <w:color w:val="FF0000"/>
        </w:rPr>
        <w:t>，</w:t>
      </w:r>
      <w:r w:rsidR="00C2305C" w:rsidRPr="00E279EE">
        <w:rPr>
          <w:rFonts w:hint="eastAsia"/>
          <w:b/>
          <w:color w:val="FF0000"/>
        </w:rPr>
        <w:t>实践：</w:t>
      </w:r>
      <w:r w:rsidR="00AA7E37" w:rsidRPr="00E279EE">
        <w:rPr>
          <w:b/>
          <w:color w:val="FF0000"/>
        </w:rPr>
        <w:t>立方体演示程序</w:t>
      </w:r>
    </w:p>
    <w:p w:rsidR="00CA520B" w:rsidRPr="003F1728" w:rsidRDefault="00AB6D28" w:rsidP="00B367D1">
      <w:pPr>
        <w:rPr>
          <w:b/>
          <w:color w:val="FF0000"/>
        </w:rPr>
      </w:pPr>
      <w:r>
        <w:rPr>
          <w:rFonts w:hint="eastAsia"/>
          <w:b/>
          <w:color w:val="FF0000"/>
        </w:rPr>
        <w:t>顶点，索引，常量，根签名</w:t>
      </w:r>
      <w:bookmarkStart w:id="0" w:name="_GoBack"/>
      <w:bookmarkEnd w:id="0"/>
    </w:p>
    <w:sectPr w:rsidR="00CA520B" w:rsidRPr="003F1728">
      <w:footerReference w:type="default" r:id="rI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B6E59" w:rsidRDefault="006B6E59" w:rsidP="00544B60">
      <w:r>
        <w:separator/>
      </w:r>
    </w:p>
  </w:endnote>
  <w:endnote w:type="continuationSeparator" w:id="0">
    <w:p w:rsidR="006B6E59" w:rsidRDefault="006B6E59" w:rsidP="00544B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8828289"/>
      <w:docPartObj>
        <w:docPartGallery w:val="Page Numbers (Bottom of Page)"/>
        <w:docPartUnique/>
      </w:docPartObj>
    </w:sdtPr>
    <w:sdtEndPr/>
    <w:sdtContent>
      <w:p w:rsidR="00861E80" w:rsidRDefault="00861E80">
        <w:pPr>
          <w:pStyle w:val="a5"/>
        </w:pPr>
        <w:r>
          <w:rPr>
            <w:rFonts w:asciiTheme="majorHAnsi" w:eastAsiaTheme="majorEastAsia" w:hAnsiTheme="majorHAnsi" w:cstheme="majorBidi"/>
            <w:noProof/>
            <w:sz w:val="28"/>
            <w:szCs w:val="2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bottomMargin">
                    <wp:align>center</wp:align>
                  </wp:positionV>
                  <wp:extent cx="1282700" cy="343535"/>
                  <wp:effectExtent l="28575" t="19050" r="22225" b="8890"/>
                  <wp:wrapNone/>
                  <wp:docPr id="1" name="前凸弯带形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82700" cy="343535"/>
                          </a:xfrm>
                          <a:prstGeom prst="ellipseRibbon">
                            <a:avLst>
                              <a:gd name="adj1" fmla="val 25000"/>
                              <a:gd name="adj2" fmla="val 50000"/>
                              <a:gd name="adj3" fmla="val 12500"/>
                            </a:avLst>
                          </a:prstGeom>
                          <a:noFill/>
                          <a:ln w="9525">
                            <a:solidFill>
                              <a:srgbClr val="71A0DC"/>
                            </a:solidFill>
                            <a:round/>
                            <a:headEnd/>
                            <a:tailEnd/>
                          </a:ln>
                          <a:extLst>
                            <a:ext uri="{909E8E84-426E-40DD-AFC4-6F175D3DCCD1}">
                              <a14:hiddenFill xmlns:a14="http://schemas.microsoft.com/office/drawing/2010/main">
                                <a:solidFill>
                                  <a:srgbClr val="17365D"/>
                                </a:solidFill>
                              </a14:hiddenFill>
                            </a:ext>
                          </a:extLst>
                        </wps:spPr>
                        <wps:txbx>
                          <w:txbxContent>
                            <w:p w:rsidR="00861E80" w:rsidRDefault="00861E80">
                              <w:pPr>
                                <w:jc w:val="center"/>
                                <w:rPr>
                                  <w:color w:val="5B9BD5" w:themeColor="accent1"/>
                                </w:rPr>
                              </w:pPr>
                              <w:r>
                                <w:fldChar w:fldCharType="begin"/>
                              </w:r>
                              <w:r>
                                <w:instrText>PAGE    \* MERGEFORMAT</w:instrText>
                              </w:r>
                              <w:r>
                                <w:fldChar w:fldCharType="separate"/>
                              </w:r>
                              <w:r w:rsidR="00AB6D28" w:rsidRPr="00AB6D28">
                                <w:rPr>
                                  <w:noProof/>
                                  <w:color w:val="5B9BD5" w:themeColor="accent1"/>
                                  <w:lang w:val="zh-CN"/>
                                </w:rPr>
                                <w:t>3</w:t>
                              </w:r>
                              <w:r>
                                <w:rPr>
                                  <w:color w:val="5B9BD5" w:themeColor="accent1"/>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前凸弯带形 1" o:spid="_x0000_s1026" type="#_x0000_t107" style="position:absolute;margin-left:0;margin-top:0;width:101pt;height:27.0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" filled="f" fillcolor="#17365d" strokecolor="#71a0dc">
                  <v:textbox>
                    <w:txbxContent>
                      <w:p w:rsidR="00861E80" w:rsidRDefault="00861E80">
                        <w:pPr>
                          <w:jc w:val="center"/>
                          <w:rPr>
                            <w:color w:val="5B9BD5" w:themeColor="accent1"/>
                          </w:rPr>
                        </w:pPr>
                        <w:r>
                          <w:fldChar w:fldCharType="begin"/>
                        </w:r>
                        <w:r>
                          <w:instrText>PAGE    \* MERGEFORMAT</w:instrText>
                        </w:r>
                        <w:r>
                          <w:fldChar w:fldCharType="separate"/>
                        </w:r>
                        <w:r w:rsidR="00AB6D28" w:rsidRPr="00AB6D28">
                          <w:rPr>
                            <w:noProof/>
                            <w:color w:val="5B9BD5" w:themeColor="accent1"/>
                            <w:lang w:val="zh-CN"/>
                          </w:rPr>
                          <w:t>3</w:t>
                        </w:r>
                        <w:r>
                          <w:rPr>
                            <w:color w:val="5B9BD5" w:themeColor="accent1"/>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B6E59" w:rsidRDefault="006B6E59" w:rsidP="00544B60">
      <w:r>
        <w:separator/>
      </w:r>
    </w:p>
  </w:footnote>
  <w:footnote w:type="continuationSeparator" w:id="0">
    <w:p w:rsidR="006B6E59" w:rsidRDefault="006B6E59" w:rsidP="00544B6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093E"/>
    <w:rsid w:val="000043F2"/>
    <w:rsid w:val="000045D4"/>
    <w:rsid w:val="000139B9"/>
    <w:rsid w:val="00014202"/>
    <w:rsid w:val="00017398"/>
    <w:rsid w:val="00022D38"/>
    <w:rsid w:val="000342A9"/>
    <w:rsid w:val="000347CD"/>
    <w:rsid w:val="00061697"/>
    <w:rsid w:val="0009187C"/>
    <w:rsid w:val="000A5B36"/>
    <w:rsid w:val="000C16F6"/>
    <w:rsid w:val="000D2B88"/>
    <w:rsid w:val="000D4702"/>
    <w:rsid w:val="000D4ED7"/>
    <w:rsid w:val="000F29A8"/>
    <w:rsid w:val="000F47B0"/>
    <w:rsid w:val="000F54FC"/>
    <w:rsid w:val="001213EF"/>
    <w:rsid w:val="00126530"/>
    <w:rsid w:val="001323C3"/>
    <w:rsid w:val="00134449"/>
    <w:rsid w:val="0013789E"/>
    <w:rsid w:val="0015400A"/>
    <w:rsid w:val="00160125"/>
    <w:rsid w:val="00161DE9"/>
    <w:rsid w:val="0016549B"/>
    <w:rsid w:val="0018116C"/>
    <w:rsid w:val="001859CD"/>
    <w:rsid w:val="001A15CC"/>
    <w:rsid w:val="001B1AFA"/>
    <w:rsid w:val="001D51FD"/>
    <w:rsid w:val="001E251D"/>
    <w:rsid w:val="001E43FF"/>
    <w:rsid w:val="001E5BC9"/>
    <w:rsid w:val="001E78C4"/>
    <w:rsid w:val="001F6186"/>
    <w:rsid w:val="00215DA1"/>
    <w:rsid w:val="0021792D"/>
    <w:rsid w:val="00221195"/>
    <w:rsid w:val="00221978"/>
    <w:rsid w:val="00222A4F"/>
    <w:rsid w:val="002237CC"/>
    <w:rsid w:val="00226498"/>
    <w:rsid w:val="00235784"/>
    <w:rsid w:val="002472E4"/>
    <w:rsid w:val="00256C2F"/>
    <w:rsid w:val="00283E6A"/>
    <w:rsid w:val="00284233"/>
    <w:rsid w:val="00284733"/>
    <w:rsid w:val="002A6CBC"/>
    <w:rsid w:val="002D009C"/>
    <w:rsid w:val="002D3E41"/>
    <w:rsid w:val="002D414F"/>
    <w:rsid w:val="002D4223"/>
    <w:rsid w:val="002E42D6"/>
    <w:rsid w:val="002E5BD0"/>
    <w:rsid w:val="0030198C"/>
    <w:rsid w:val="003072EF"/>
    <w:rsid w:val="003204DB"/>
    <w:rsid w:val="003350B3"/>
    <w:rsid w:val="0034776C"/>
    <w:rsid w:val="00362641"/>
    <w:rsid w:val="00365E34"/>
    <w:rsid w:val="0036723C"/>
    <w:rsid w:val="00376938"/>
    <w:rsid w:val="00383E56"/>
    <w:rsid w:val="003F1728"/>
    <w:rsid w:val="003F1D61"/>
    <w:rsid w:val="00405B0F"/>
    <w:rsid w:val="004312F6"/>
    <w:rsid w:val="00443898"/>
    <w:rsid w:val="00452A22"/>
    <w:rsid w:val="00475684"/>
    <w:rsid w:val="00485356"/>
    <w:rsid w:val="004920B3"/>
    <w:rsid w:val="00494300"/>
    <w:rsid w:val="00494F06"/>
    <w:rsid w:val="004A1FA1"/>
    <w:rsid w:val="004A3B32"/>
    <w:rsid w:val="004B0B33"/>
    <w:rsid w:val="004C3FDD"/>
    <w:rsid w:val="004D3F3F"/>
    <w:rsid w:val="004D460F"/>
    <w:rsid w:val="004E3979"/>
    <w:rsid w:val="004F093E"/>
    <w:rsid w:val="004F3369"/>
    <w:rsid w:val="004F6C86"/>
    <w:rsid w:val="00501B0D"/>
    <w:rsid w:val="00501EA9"/>
    <w:rsid w:val="00510703"/>
    <w:rsid w:val="0051295C"/>
    <w:rsid w:val="005164D8"/>
    <w:rsid w:val="00521A2F"/>
    <w:rsid w:val="0052435A"/>
    <w:rsid w:val="0052727E"/>
    <w:rsid w:val="00531365"/>
    <w:rsid w:val="00531F9E"/>
    <w:rsid w:val="00534E0E"/>
    <w:rsid w:val="00542EEE"/>
    <w:rsid w:val="00544B60"/>
    <w:rsid w:val="00544CC7"/>
    <w:rsid w:val="0056334F"/>
    <w:rsid w:val="00571591"/>
    <w:rsid w:val="00571DC6"/>
    <w:rsid w:val="00573D60"/>
    <w:rsid w:val="00585063"/>
    <w:rsid w:val="0059179C"/>
    <w:rsid w:val="005919B3"/>
    <w:rsid w:val="005965A4"/>
    <w:rsid w:val="005A00CA"/>
    <w:rsid w:val="005B0994"/>
    <w:rsid w:val="00600E4C"/>
    <w:rsid w:val="006047DD"/>
    <w:rsid w:val="00604AB3"/>
    <w:rsid w:val="00606A05"/>
    <w:rsid w:val="00613918"/>
    <w:rsid w:val="00621585"/>
    <w:rsid w:val="00631D79"/>
    <w:rsid w:val="00650FF3"/>
    <w:rsid w:val="006654A5"/>
    <w:rsid w:val="0066787C"/>
    <w:rsid w:val="00681AEB"/>
    <w:rsid w:val="006A4E47"/>
    <w:rsid w:val="006B0CF2"/>
    <w:rsid w:val="006B6E59"/>
    <w:rsid w:val="006C2488"/>
    <w:rsid w:val="006C4CB7"/>
    <w:rsid w:val="006C678B"/>
    <w:rsid w:val="006D19D6"/>
    <w:rsid w:val="006D231E"/>
    <w:rsid w:val="006D25C8"/>
    <w:rsid w:val="006F2465"/>
    <w:rsid w:val="00720D47"/>
    <w:rsid w:val="00723F88"/>
    <w:rsid w:val="0073187E"/>
    <w:rsid w:val="00733F4A"/>
    <w:rsid w:val="0075733D"/>
    <w:rsid w:val="007A79E8"/>
    <w:rsid w:val="007B7563"/>
    <w:rsid w:val="007C08E4"/>
    <w:rsid w:val="007D4D0D"/>
    <w:rsid w:val="007D58A4"/>
    <w:rsid w:val="007D6900"/>
    <w:rsid w:val="007E63EF"/>
    <w:rsid w:val="007F6793"/>
    <w:rsid w:val="008116DA"/>
    <w:rsid w:val="00821F84"/>
    <w:rsid w:val="008244C9"/>
    <w:rsid w:val="00827CEC"/>
    <w:rsid w:val="00837235"/>
    <w:rsid w:val="00837F97"/>
    <w:rsid w:val="008535CC"/>
    <w:rsid w:val="00861E80"/>
    <w:rsid w:val="00875D34"/>
    <w:rsid w:val="00881941"/>
    <w:rsid w:val="00887C4E"/>
    <w:rsid w:val="008950F8"/>
    <w:rsid w:val="008B6485"/>
    <w:rsid w:val="008D1705"/>
    <w:rsid w:val="008D1960"/>
    <w:rsid w:val="008D72A3"/>
    <w:rsid w:val="008E2BFA"/>
    <w:rsid w:val="008E7945"/>
    <w:rsid w:val="009000A1"/>
    <w:rsid w:val="0091112F"/>
    <w:rsid w:val="00912A5C"/>
    <w:rsid w:val="00913EAC"/>
    <w:rsid w:val="009160A5"/>
    <w:rsid w:val="0092291F"/>
    <w:rsid w:val="009272D7"/>
    <w:rsid w:val="00927D69"/>
    <w:rsid w:val="00935310"/>
    <w:rsid w:val="00950D91"/>
    <w:rsid w:val="00973EFD"/>
    <w:rsid w:val="009760F9"/>
    <w:rsid w:val="00982709"/>
    <w:rsid w:val="00982E15"/>
    <w:rsid w:val="00985DF8"/>
    <w:rsid w:val="00987C8A"/>
    <w:rsid w:val="0099571B"/>
    <w:rsid w:val="009964C8"/>
    <w:rsid w:val="009977CD"/>
    <w:rsid w:val="009A5D0A"/>
    <w:rsid w:val="009B5E15"/>
    <w:rsid w:val="009B675C"/>
    <w:rsid w:val="009E28E5"/>
    <w:rsid w:val="009E62C4"/>
    <w:rsid w:val="009F56CE"/>
    <w:rsid w:val="009F626E"/>
    <w:rsid w:val="00A00BD0"/>
    <w:rsid w:val="00A05D97"/>
    <w:rsid w:val="00A22508"/>
    <w:rsid w:val="00A4607E"/>
    <w:rsid w:val="00A46E3E"/>
    <w:rsid w:val="00A47A49"/>
    <w:rsid w:val="00A5402E"/>
    <w:rsid w:val="00A61E05"/>
    <w:rsid w:val="00A65031"/>
    <w:rsid w:val="00A66ED6"/>
    <w:rsid w:val="00A91AA6"/>
    <w:rsid w:val="00AA7E37"/>
    <w:rsid w:val="00AB0927"/>
    <w:rsid w:val="00AB6D28"/>
    <w:rsid w:val="00AE0D70"/>
    <w:rsid w:val="00AE6C83"/>
    <w:rsid w:val="00AF195F"/>
    <w:rsid w:val="00AF7976"/>
    <w:rsid w:val="00B003CC"/>
    <w:rsid w:val="00B11BA9"/>
    <w:rsid w:val="00B1265B"/>
    <w:rsid w:val="00B26F22"/>
    <w:rsid w:val="00B367D1"/>
    <w:rsid w:val="00B53FE5"/>
    <w:rsid w:val="00B64643"/>
    <w:rsid w:val="00B82E06"/>
    <w:rsid w:val="00B9179A"/>
    <w:rsid w:val="00BA5C52"/>
    <w:rsid w:val="00BC2F27"/>
    <w:rsid w:val="00BC601B"/>
    <w:rsid w:val="00BD5DC8"/>
    <w:rsid w:val="00BE2835"/>
    <w:rsid w:val="00BE7C77"/>
    <w:rsid w:val="00C028CA"/>
    <w:rsid w:val="00C03A23"/>
    <w:rsid w:val="00C2305C"/>
    <w:rsid w:val="00C26A94"/>
    <w:rsid w:val="00C27D30"/>
    <w:rsid w:val="00C32DE4"/>
    <w:rsid w:val="00C354CD"/>
    <w:rsid w:val="00C361C9"/>
    <w:rsid w:val="00C54033"/>
    <w:rsid w:val="00C57313"/>
    <w:rsid w:val="00C62577"/>
    <w:rsid w:val="00C666DD"/>
    <w:rsid w:val="00C7070F"/>
    <w:rsid w:val="00C73BC2"/>
    <w:rsid w:val="00C81839"/>
    <w:rsid w:val="00CA157E"/>
    <w:rsid w:val="00CA520B"/>
    <w:rsid w:val="00CB40D4"/>
    <w:rsid w:val="00CC27A2"/>
    <w:rsid w:val="00CC5E70"/>
    <w:rsid w:val="00CD266D"/>
    <w:rsid w:val="00CE386D"/>
    <w:rsid w:val="00CF0408"/>
    <w:rsid w:val="00CF7EAA"/>
    <w:rsid w:val="00D03B87"/>
    <w:rsid w:val="00D46860"/>
    <w:rsid w:val="00D53408"/>
    <w:rsid w:val="00D618F3"/>
    <w:rsid w:val="00D81E0F"/>
    <w:rsid w:val="00D82294"/>
    <w:rsid w:val="00D83152"/>
    <w:rsid w:val="00D90F20"/>
    <w:rsid w:val="00D96333"/>
    <w:rsid w:val="00DC2A85"/>
    <w:rsid w:val="00DC7312"/>
    <w:rsid w:val="00DD69E9"/>
    <w:rsid w:val="00DE723B"/>
    <w:rsid w:val="00E12602"/>
    <w:rsid w:val="00E21410"/>
    <w:rsid w:val="00E26269"/>
    <w:rsid w:val="00E279EE"/>
    <w:rsid w:val="00E3096D"/>
    <w:rsid w:val="00E513F2"/>
    <w:rsid w:val="00E57CC9"/>
    <w:rsid w:val="00E7786E"/>
    <w:rsid w:val="00E97522"/>
    <w:rsid w:val="00EB03B5"/>
    <w:rsid w:val="00EB3187"/>
    <w:rsid w:val="00EB3C6E"/>
    <w:rsid w:val="00EB5CB7"/>
    <w:rsid w:val="00EC59DE"/>
    <w:rsid w:val="00EC5B2D"/>
    <w:rsid w:val="00ED1DCC"/>
    <w:rsid w:val="00EE27FD"/>
    <w:rsid w:val="00EE2CB3"/>
    <w:rsid w:val="00F00EFF"/>
    <w:rsid w:val="00F035B8"/>
    <w:rsid w:val="00F10CC9"/>
    <w:rsid w:val="00F12BBF"/>
    <w:rsid w:val="00F13B59"/>
    <w:rsid w:val="00F174F8"/>
    <w:rsid w:val="00F23967"/>
    <w:rsid w:val="00F24DD9"/>
    <w:rsid w:val="00F26DF8"/>
    <w:rsid w:val="00F30AD5"/>
    <w:rsid w:val="00F352FC"/>
    <w:rsid w:val="00F44233"/>
    <w:rsid w:val="00F51481"/>
    <w:rsid w:val="00F568ED"/>
    <w:rsid w:val="00F63442"/>
    <w:rsid w:val="00F83959"/>
    <w:rsid w:val="00F92256"/>
    <w:rsid w:val="00F96E28"/>
    <w:rsid w:val="00F96FBE"/>
    <w:rsid w:val="00FA1817"/>
    <w:rsid w:val="00FB133A"/>
    <w:rsid w:val="00FD0565"/>
    <w:rsid w:val="00FD1A75"/>
    <w:rsid w:val="00FE1B98"/>
    <w:rsid w:val="00FE4415"/>
    <w:rsid w:val="00FE6EB0"/>
    <w:rsid w:val="00FF1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BBE07D"/>
  <w15:chartTrackingRefBased/>
  <w15:docId w15:val="{671BA2FC-4FBF-4CF0-B4FA-16B63549D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44B6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44B60"/>
    <w:rPr>
      <w:sz w:val="18"/>
      <w:szCs w:val="18"/>
    </w:rPr>
  </w:style>
  <w:style w:type="paragraph" w:styleId="a5">
    <w:name w:val="footer"/>
    <w:basedOn w:val="a"/>
    <w:link w:val="a6"/>
    <w:uiPriority w:val="99"/>
    <w:unhideWhenUsed/>
    <w:rsid w:val="00544B60"/>
    <w:pPr>
      <w:tabs>
        <w:tab w:val="center" w:pos="4153"/>
        <w:tab w:val="right" w:pos="8306"/>
      </w:tabs>
      <w:snapToGrid w:val="0"/>
      <w:jc w:val="left"/>
    </w:pPr>
    <w:rPr>
      <w:sz w:val="18"/>
      <w:szCs w:val="18"/>
    </w:rPr>
  </w:style>
  <w:style w:type="character" w:customStyle="1" w:styleId="a6">
    <w:name w:val="页脚 字符"/>
    <w:basedOn w:val="a0"/>
    <w:link w:val="a5"/>
    <w:uiPriority w:val="99"/>
    <w:rsid w:val="00544B6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2147</TotalTime>
  <Pages>3</Pages>
  <Words>363</Words>
  <Characters>2071</Characters>
  <Application>Microsoft Office Word</Application>
  <DocSecurity>0</DocSecurity>
  <Lines>17</Lines>
  <Paragraphs>4</Paragraphs>
  <ScaleCrop>false</ScaleCrop>
  <Company/>
  <LinksUpToDate>false</LinksUpToDate>
  <CharactersWithSpaces>2430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薛陈成</dc:creator>
  <cp:keywords/>
  <dc:description/>
  <cp:lastModifiedBy>薛陈成</cp:lastModifiedBy>
  <cp:revision>995</cp:revision>
  <dcterms:created xsi:type="dcterms:W3CDTF">2021-01-01T06:28:00Z</dcterms:created>
  <dcterms:modified xsi:type="dcterms:W3CDTF">2021-01-17T11:36:00Z</dcterms:modified>
</cp:coreProperties>
</file>