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FE" w:rsidRPr="00A12CFE" w:rsidRDefault="00A12CFE" w:rsidP="00A12CFE">
      <w:pPr>
        <w:rPr>
          <w:rFonts w:ascii="MS PGothic" w:hAnsi="MS PGothic"/>
          <w:b/>
          <w:bCs/>
        </w:rPr>
      </w:pPr>
      <w:r w:rsidRPr="00A12CFE">
        <w:rPr>
          <w:rFonts w:ascii="MS PGothic" w:hAnsi="MS PGothic"/>
          <w:b/>
          <w:bCs/>
        </w:rPr>
        <w:t>滚动条</w:t>
      </w:r>
      <w:r w:rsidRPr="00A12CFE">
        <w:rPr>
          <w:rFonts w:ascii="MS PGothic" w:hAnsi="MS PGothic"/>
          <w:b/>
          <w:bCs/>
        </w:rPr>
        <w:t xml:space="preserve"> (Scrollbar)</w:t>
      </w:r>
    </w:p>
    <w:p w:rsidR="00A12CFE" w:rsidRPr="00A12CFE" w:rsidRDefault="00A12CFE" w:rsidP="00A12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C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285" cy="3893185"/>
            <wp:effectExtent l="0" t="0" r="0" b="0"/>
            <wp:docPr id="4" name="图片 4" descr="C:\Users\xuechencheng\AppData\Roaming\Tencent\Users\1031022030\QQ\WinTemp\RichOle\_WHSL1SIB}LR6U7PP(6NY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_WHSL1SIB}LR6U7PP(6NY7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CFE" w:rsidRPr="00A12CFE" w:rsidRDefault="00A12CFE" w:rsidP="00A12CFE">
      <w:pPr>
        <w:rPr>
          <w:rFonts w:ascii="MS PGothic" w:hAnsi="MS PGothic"/>
          <w:b/>
          <w:bCs/>
        </w:rPr>
      </w:pPr>
      <w:bookmarkStart w:id="0" w:name="_GoBack"/>
      <w:bookmarkEnd w:id="0"/>
      <w:r w:rsidRPr="00A12CFE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8399"/>
      </w:tblGrid>
      <w:tr w:rsidR="00A12CFE" w:rsidRPr="00A12CFE" w:rsidTr="00A12C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此组件是否接受输入？请参阅</w:t>
            </w:r>
            <w:r w:rsidRPr="00A12CFE">
              <w:rPr>
                <w:rFonts w:ascii="MS PGothic" w:hAnsi="MS PGothic"/>
              </w:rPr>
              <w:t> </w:t>
            </w:r>
            <w:hyperlink r:id="rId7" w:history="1">
              <w:r w:rsidRPr="00A12CFE">
                <w:rPr>
                  <w:rStyle w:val="a7"/>
                  <w:rFonts w:ascii="MS PGothic" w:hAnsi="MS PGothic"/>
                </w:rPr>
                <w:t>Interactable</w:t>
              </w:r>
            </w:hyperlink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确定控件以何种方式对用户操作进行可视化响应的属性。请参阅</w:t>
            </w:r>
            <w:hyperlink r:id="rId8" w:history="1">
              <w:r w:rsidRPr="00A12CFE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确定控件顺序的属性。请参阅</w:t>
            </w:r>
            <w:hyperlink r:id="rId9" w:history="1">
              <w:r w:rsidRPr="00A12CFE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Fill Rect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用于控件背景区域的图形。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Handle Rect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用于控件滑动</w:t>
            </w:r>
            <w:r w:rsidRPr="00A12CFE">
              <w:rPr>
                <w:rFonts w:ascii="MS PGothic" w:hAnsi="MS PGothic"/>
              </w:rPr>
              <w:t>“</w:t>
            </w:r>
            <w:r w:rsidRPr="00A12CFE">
              <w:rPr>
                <w:rFonts w:ascii="MS PGothic" w:hAnsi="MS PGothic"/>
              </w:rPr>
              <w:t>控制柄</w:t>
            </w:r>
            <w:r w:rsidRPr="00A12CFE">
              <w:rPr>
                <w:rFonts w:ascii="MS PGothic" w:hAnsi="MS PGothic"/>
              </w:rPr>
              <w:t>”</w:t>
            </w:r>
            <w:r w:rsidRPr="00A12CFE">
              <w:rPr>
                <w:rFonts w:ascii="MS PGothic" w:hAnsi="MS PGothic"/>
              </w:rPr>
              <w:t>部分的图形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拖动控制柄时滚动条值增加的方向。选项包括</w:t>
            </w:r>
            <w:r w:rsidRPr="00A12CFE">
              <w:rPr>
                <w:rFonts w:ascii="MS PGothic" w:hAnsi="MS PGothic"/>
              </w:rPr>
              <w:t> </w:t>
            </w:r>
            <w:r w:rsidRPr="00A12CFE">
              <w:rPr>
                <w:rFonts w:ascii="MS PGothic" w:hAnsi="MS PGothic"/>
                <w:i/>
                <w:iCs/>
              </w:rPr>
              <w:t>Left To Right</w:t>
            </w:r>
            <w:r w:rsidRPr="00A12CFE">
              <w:rPr>
                <w:rFonts w:ascii="MS PGothic" w:hAnsi="MS PGothic"/>
              </w:rPr>
              <w:t>、</w:t>
            </w:r>
            <w:r w:rsidRPr="00A12CFE">
              <w:rPr>
                <w:rFonts w:ascii="MS PGothic" w:hAnsi="MS PGothic"/>
                <w:i/>
                <w:iCs/>
              </w:rPr>
              <w:t>Right To Left</w:t>
            </w:r>
            <w:r w:rsidRPr="00A12CFE">
              <w:rPr>
                <w:rFonts w:ascii="MS PGothic" w:hAnsi="MS PGothic"/>
              </w:rPr>
              <w:t>、</w:t>
            </w:r>
            <w:r w:rsidRPr="00A12CFE">
              <w:rPr>
                <w:rFonts w:ascii="MS PGothic" w:hAnsi="MS PGothic"/>
                <w:i/>
                <w:iCs/>
              </w:rPr>
              <w:t>Bottom To Top</w:t>
            </w:r>
            <w:r w:rsidRPr="00A12CFE">
              <w:rPr>
                <w:rFonts w:ascii="MS PGothic" w:hAnsi="MS PGothic"/>
              </w:rPr>
              <w:t> </w:t>
            </w:r>
            <w:r w:rsidRPr="00A12CFE">
              <w:rPr>
                <w:rFonts w:ascii="MS PGothic" w:hAnsi="MS PGothic"/>
              </w:rPr>
              <w:t>和</w:t>
            </w:r>
            <w:r w:rsidRPr="00A12CFE">
              <w:rPr>
                <w:rFonts w:ascii="MS PGothic" w:hAnsi="MS PGothic"/>
              </w:rPr>
              <w:t> </w:t>
            </w:r>
            <w:r w:rsidRPr="00A12CFE">
              <w:rPr>
                <w:rFonts w:ascii="MS PGothic" w:hAnsi="MS PGothic"/>
                <w:i/>
                <w:iCs/>
              </w:rPr>
              <w:t>Top To Bottom</w:t>
            </w:r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滚动条的初始位置值，范围为</w:t>
            </w:r>
            <w:r w:rsidRPr="00A12CFE">
              <w:rPr>
                <w:rFonts w:ascii="MS PGothic" w:hAnsi="MS PGothic"/>
              </w:rPr>
              <w:t xml:space="preserve"> 0.0 </w:t>
            </w:r>
            <w:r w:rsidRPr="00A12CFE">
              <w:rPr>
                <w:rFonts w:ascii="MS PGothic" w:hAnsi="MS PGothic"/>
              </w:rPr>
              <w:t>到</w:t>
            </w:r>
            <w:r w:rsidRPr="00A12CFE">
              <w:rPr>
                <w:rFonts w:ascii="MS PGothic" w:hAnsi="MS PGothic"/>
              </w:rPr>
              <w:t xml:space="preserve"> 1.0</w:t>
            </w:r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控制柄在滚动条内的比例大小，范围为</w:t>
            </w:r>
            <w:r w:rsidRPr="00A12CFE">
              <w:rPr>
                <w:rFonts w:ascii="MS PGothic" w:hAnsi="MS PGothic"/>
              </w:rPr>
              <w:t xml:space="preserve"> 0.0 </w:t>
            </w:r>
            <w:r w:rsidRPr="00A12CFE">
              <w:rPr>
                <w:rFonts w:ascii="MS PGothic" w:hAnsi="MS PGothic"/>
              </w:rPr>
              <w:t>到</w:t>
            </w:r>
            <w:r w:rsidRPr="00A12CFE">
              <w:rPr>
                <w:rFonts w:ascii="MS PGothic" w:hAnsi="MS PGothic"/>
              </w:rPr>
              <w:t xml:space="preserve"> 1.0</w:t>
            </w:r>
            <w:r w:rsidRPr="00A12CFE">
              <w:rPr>
                <w:rFonts w:ascii="MS PGothic" w:hAnsi="MS PGothic"/>
              </w:rPr>
              <w:t>。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Number Of Steps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滚动条允许的不同滚动位置的数量。</w:t>
            </w:r>
          </w:p>
        </w:tc>
      </w:tr>
    </w:tbl>
    <w:p w:rsidR="00A12CFE" w:rsidRPr="00A12CFE" w:rsidRDefault="00A12CFE" w:rsidP="00A12CFE">
      <w:pPr>
        <w:rPr>
          <w:rFonts w:ascii="MS PGothic" w:hAnsi="MS PGothic"/>
          <w:b/>
          <w:bCs/>
        </w:rPr>
      </w:pPr>
      <w:r w:rsidRPr="00A12CFE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17691"/>
      </w:tblGrid>
      <w:tr w:rsidR="00A12CFE" w:rsidRPr="00A12CFE" w:rsidTr="00A12C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A12CFE" w:rsidRPr="00A12CFE" w:rsidTr="00A12C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  <w:b/>
                <w:bCs/>
              </w:rPr>
              <w:t>On Value Changed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12CFE" w:rsidRPr="00A12CFE" w:rsidRDefault="00A12CFE" w:rsidP="00A12CFE">
            <w:pPr>
              <w:rPr>
                <w:rFonts w:ascii="MS PGothic" w:hAnsi="MS PGothic"/>
              </w:rPr>
            </w:pPr>
            <w:r w:rsidRPr="00A12CFE">
              <w:rPr>
                <w:rFonts w:ascii="MS PGothic" w:hAnsi="MS PGothic"/>
              </w:rPr>
              <w:t>滚动条的当前值发生变化时调用的</w:t>
            </w:r>
            <w:r w:rsidRPr="00A12CFE">
              <w:rPr>
                <w:rFonts w:ascii="MS PGothic" w:hAnsi="MS PGothic"/>
              </w:rPr>
              <w:t> </w:t>
            </w:r>
            <w:hyperlink r:id="rId10" w:history="1">
              <w:r w:rsidRPr="00A12CFE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A12CFE">
              <w:rPr>
                <w:rFonts w:ascii="MS PGothic" w:hAnsi="MS PGothic"/>
              </w:rPr>
              <w:t>。该事件可将值作为</w:t>
            </w:r>
            <w:r w:rsidRPr="00A12CFE">
              <w:rPr>
                <w:rFonts w:ascii="MS PGothic" w:hAnsi="MS PGothic"/>
              </w:rPr>
              <w:t> float </w:t>
            </w:r>
            <w:r w:rsidRPr="00A12CFE">
              <w:rPr>
                <w:rFonts w:ascii="MS PGothic" w:hAnsi="MS PGothic"/>
              </w:rPr>
              <w:t>类型动态参数发送。</w:t>
            </w:r>
          </w:p>
        </w:tc>
      </w:tr>
    </w:tbl>
    <w:p w:rsidR="00E37858" w:rsidRPr="00085391" w:rsidRDefault="00162006">
      <w:pPr>
        <w:rPr>
          <w:rFonts w:ascii="MS PGothic" w:hAnsi="MS PGothic"/>
        </w:rPr>
      </w:pPr>
    </w:p>
    <w:sectPr w:rsidR="00E37858" w:rsidRPr="000853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06" w:rsidRDefault="00162006" w:rsidP="00085391">
      <w:r>
        <w:separator/>
      </w:r>
    </w:p>
  </w:endnote>
  <w:endnote w:type="continuationSeparator" w:id="0">
    <w:p w:rsidR="00162006" w:rsidRDefault="00162006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12CFE" w:rsidRPr="00A12CF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12CFE" w:rsidRPr="00A12CFE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06" w:rsidRDefault="00162006" w:rsidP="00085391">
      <w:r>
        <w:separator/>
      </w:r>
    </w:p>
  </w:footnote>
  <w:footnote w:type="continuationSeparator" w:id="0">
    <w:p w:rsidR="00162006" w:rsidRDefault="00162006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62006"/>
    <w:rsid w:val="001C4183"/>
    <w:rsid w:val="0066787C"/>
    <w:rsid w:val="00A12CFE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A12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2020-11-09T01:18:00Z</dcterms:modified>
</cp:coreProperties>
</file>