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8B0A2C" w:rsidRDefault="00D86B29" w:rsidP="008B0A2C">
      <w:pPr>
        <w:jc w:val="center"/>
        <w:rPr>
          <w:b/>
          <w:color w:val="70AD47" w:themeColor="accent6"/>
          <w:sz w:val="32"/>
          <w:szCs w:val="32"/>
        </w:rPr>
      </w:pPr>
      <w:r w:rsidRPr="008B0A2C">
        <w:rPr>
          <w:rFonts w:hint="eastAsia"/>
          <w:b/>
          <w:color w:val="70AD47" w:themeColor="accent6"/>
          <w:sz w:val="32"/>
          <w:szCs w:val="32"/>
        </w:rPr>
        <w:t>利用Direct</w:t>
      </w:r>
      <w:r w:rsidRPr="008B0A2C">
        <w:rPr>
          <w:b/>
          <w:color w:val="70AD47" w:themeColor="accent6"/>
          <w:sz w:val="32"/>
          <w:szCs w:val="32"/>
        </w:rPr>
        <w:t>3D</w:t>
      </w:r>
      <w:r w:rsidRPr="008B0A2C">
        <w:rPr>
          <w:rFonts w:hint="eastAsia"/>
          <w:b/>
          <w:color w:val="70AD47" w:themeColor="accent6"/>
          <w:sz w:val="32"/>
          <w:szCs w:val="32"/>
        </w:rPr>
        <w:t>绘制几何体</w:t>
      </w:r>
    </w:p>
    <w:p w:rsidR="00D86B29" w:rsidRPr="008B0A2C" w:rsidRDefault="004B5079">
      <w:pPr>
        <w:rPr>
          <w:b/>
          <w:color w:val="70AD47" w:themeColor="accent6"/>
          <w:sz w:val="28"/>
          <w:szCs w:val="28"/>
        </w:rPr>
      </w:pPr>
      <w:r w:rsidRPr="008B0A2C">
        <w:rPr>
          <w:rFonts w:hint="eastAsia"/>
          <w:b/>
          <w:color w:val="70AD47" w:themeColor="accent6"/>
          <w:sz w:val="28"/>
          <w:szCs w:val="28"/>
        </w:rPr>
        <w:t>顶点与输入布局</w:t>
      </w:r>
    </w:p>
    <w:p w:rsidR="004B5079" w:rsidRPr="008E4CBB" w:rsidRDefault="00632233">
      <w:pPr>
        <w:rPr>
          <w:b/>
          <w:color w:val="70AD47" w:themeColor="accent6"/>
        </w:rPr>
      </w:pPr>
      <w:r w:rsidRPr="008E4CBB">
        <w:rPr>
          <w:rFonts w:hint="eastAsia"/>
          <w:b/>
          <w:color w:val="70AD47" w:themeColor="accent6"/>
        </w:rPr>
        <w:t>W</w:t>
      </w:r>
      <w:r w:rsidRPr="008E4CBB">
        <w:rPr>
          <w:b/>
          <w:color w:val="70AD47" w:themeColor="accent6"/>
        </w:rPr>
        <w:t>hat:</w:t>
      </w:r>
    </w:p>
    <w:p w:rsidR="00632233" w:rsidRPr="008E4CBB" w:rsidRDefault="00632233">
      <w:pPr>
        <w:rPr>
          <w:b/>
          <w:color w:val="70AD47" w:themeColor="accent6"/>
        </w:rPr>
      </w:pPr>
      <w:r w:rsidRPr="008E4CBB">
        <w:rPr>
          <w:b/>
          <w:color w:val="70AD47" w:themeColor="accent6"/>
        </w:rPr>
        <w:t>Why:</w:t>
      </w:r>
    </w:p>
    <w:p w:rsidR="00632233" w:rsidRPr="008E4CBB" w:rsidRDefault="00632233">
      <w:pPr>
        <w:rPr>
          <w:b/>
          <w:color w:val="70AD47" w:themeColor="accent6"/>
        </w:rPr>
      </w:pPr>
      <w:r w:rsidRPr="008E4CBB">
        <w:rPr>
          <w:b/>
          <w:color w:val="70AD47" w:themeColor="accent6"/>
        </w:rPr>
        <w:t>How:</w:t>
      </w:r>
    </w:p>
    <w:p w:rsidR="00632233" w:rsidRPr="008E4CBB" w:rsidRDefault="0031571A">
      <w:pPr>
        <w:rPr>
          <w:b/>
        </w:rPr>
      </w:pPr>
      <w:r>
        <w:tab/>
      </w:r>
      <w:r w:rsidR="001B4F19" w:rsidRPr="008E4CBB">
        <w:rPr>
          <w:rFonts w:hint="eastAsia"/>
          <w:b/>
          <w:color w:val="70AD47" w:themeColor="accent6"/>
        </w:rPr>
        <w:t>如何</w:t>
      </w:r>
      <w:r w:rsidRPr="008E4CBB">
        <w:rPr>
          <w:rFonts w:hint="eastAsia"/>
          <w:b/>
          <w:color w:val="70AD47" w:themeColor="accent6"/>
        </w:rPr>
        <w:t>构建自定义的顶点格式</w:t>
      </w:r>
      <w:r w:rsidR="003B676B" w:rsidRPr="008E4CBB">
        <w:rPr>
          <w:rFonts w:hint="eastAsia"/>
          <w:b/>
          <w:color w:val="70AD47" w:themeColor="accent6"/>
        </w:rPr>
        <w:t>？</w:t>
      </w:r>
    </w:p>
    <w:p w:rsidR="00930F80" w:rsidRDefault="0031571A">
      <w:r>
        <w:tab/>
      </w:r>
      <w:r w:rsidR="00600E72" w:rsidRPr="00600E72">
        <w:rPr>
          <w:rFonts w:hint="eastAsia"/>
        </w:rPr>
        <w:t>首先要创建一个结构体来容纳选定的顶点数据。</w:t>
      </w:r>
    </w:p>
    <w:p w:rsidR="00397232" w:rsidRDefault="001B73FC" w:rsidP="00930F80">
      <w:pPr>
        <w:ind w:firstLine="420"/>
      </w:pPr>
      <w:r>
        <w:rPr>
          <w:rFonts w:hint="eastAsia"/>
        </w:rPr>
        <w:t>然后</w:t>
      </w:r>
      <w:r w:rsidR="00F05375" w:rsidRPr="00F05375">
        <w:rPr>
          <w:rFonts w:hint="eastAsia"/>
        </w:rPr>
        <w:t>，我们还需要向</w:t>
      </w:r>
      <w:r w:rsidR="00F05375" w:rsidRPr="00F05375">
        <w:t>Direct3D提供该顶点结构体的描述，使它了解应怎样来处理结构体中的每个成员。</w:t>
      </w:r>
    </w:p>
    <w:p w:rsidR="00F85029" w:rsidRDefault="00F05375" w:rsidP="00A366D7">
      <w:pPr>
        <w:ind w:firstLine="420"/>
      </w:pPr>
      <w:r w:rsidRPr="00F05375">
        <w:t>这种描述被称为输入布局描述，用结构体D3D12_INPUT_LAYOUT_DESC</w:t>
      </w:r>
      <w:r w:rsidR="00CC4EAD">
        <w:t>来表示</w:t>
      </w:r>
      <w:r w:rsidR="00CC4EAD">
        <w:rPr>
          <w:rFonts w:hint="eastAsia"/>
        </w:rPr>
        <w:t>。</w:t>
      </w:r>
      <w:r w:rsidR="00CF35EE">
        <w:rPr>
          <w:rFonts w:hint="eastAsia"/>
        </w:rPr>
        <w:t>输入布局描述由</w:t>
      </w:r>
      <w:r w:rsidR="00C078EA" w:rsidRPr="00C078EA">
        <w:rPr>
          <w:rFonts w:hint="eastAsia"/>
        </w:rPr>
        <w:t>一个以</w:t>
      </w:r>
      <w:r w:rsidR="00C078EA" w:rsidRPr="00C078EA">
        <w:t>D3D12_INPUT_ELEMENT_DESC元素构成的数组</w:t>
      </w:r>
      <w:r w:rsidR="004558AA">
        <w:rPr>
          <w:rFonts w:hint="eastAsia"/>
        </w:rPr>
        <w:t>组成</w:t>
      </w:r>
      <w:r w:rsidR="00C078EA" w:rsidRPr="00C078EA">
        <w:t>。D3D12_INPUT_ELEMENT_DESC数组中的元素依次描述了顶点结构体中所对应的成员。</w:t>
      </w:r>
    </w:p>
    <w:p w:rsidR="00A366D7" w:rsidRDefault="00A366D7" w:rsidP="0085454D">
      <w:pPr>
        <w:rPr>
          <w:rFonts w:hint="eastAsia"/>
        </w:rPr>
      </w:pPr>
    </w:p>
    <w:p w:rsidR="00F85029" w:rsidRPr="0001329D" w:rsidRDefault="00F85029">
      <w:pPr>
        <w:rPr>
          <w:b/>
          <w:color w:val="70AD47" w:themeColor="accent6"/>
          <w:sz w:val="28"/>
        </w:rPr>
      </w:pPr>
      <w:r w:rsidRPr="0001329D">
        <w:rPr>
          <w:rFonts w:hint="eastAsia"/>
          <w:b/>
          <w:color w:val="70AD47" w:themeColor="accent6"/>
          <w:sz w:val="28"/>
        </w:rPr>
        <w:t>顶点缓冲区</w:t>
      </w:r>
    </w:p>
    <w:p w:rsidR="00F85029" w:rsidRPr="008E4CBB" w:rsidRDefault="00F85029">
      <w:pPr>
        <w:rPr>
          <w:b/>
          <w:color w:val="70AD47" w:themeColor="accent6"/>
        </w:rPr>
      </w:pPr>
      <w:r w:rsidRPr="008E4CBB">
        <w:rPr>
          <w:rFonts w:hint="eastAsia"/>
          <w:b/>
          <w:color w:val="70AD47" w:themeColor="accent6"/>
        </w:rPr>
        <w:t>What：</w:t>
      </w:r>
    </w:p>
    <w:p w:rsidR="008F42AD" w:rsidRDefault="008F42AD">
      <w:pPr>
        <w:rPr>
          <w:rFonts w:hint="eastAsia"/>
        </w:rPr>
      </w:pPr>
      <w:r>
        <w:tab/>
      </w:r>
      <w:r w:rsidR="003A3807">
        <w:t>我们把存储顶点的缓冲区叫作顶点缓冲区</w:t>
      </w:r>
      <w:r w:rsidR="003A3807">
        <w:rPr>
          <w:rFonts w:hint="eastAsia"/>
        </w:rPr>
        <w:t>。</w:t>
      </w:r>
    </w:p>
    <w:p w:rsidR="00F85029" w:rsidRPr="008E4CBB" w:rsidRDefault="00F85029">
      <w:pPr>
        <w:rPr>
          <w:b/>
          <w:color w:val="70AD47" w:themeColor="accent6"/>
        </w:rPr>
      </w:pPr>
      <w:r w:rsidRPr="008E4CBB">
        <w:rPr>
          <w:rFonts w:hint="eastAsia"/>
          <w:b/>
          <w:color w:val="70AD47" w:themeColor="accent6"/>
        </w:rPr>
        <w:t>Why：</w:t>
      </w:r>
    </w:p>
    <w:p w:rsidR="006F52F5" w:rsidRDefault="0070071D" w:rsidP="00AC0119">
      <w:pPr>
        <w:ind w:firstLine="420"/>
        <w:rPr>
          <w:rFonts w:hint="eastAsia"/>
        </w:rPr>
      </w:pPr>
      <w:r>
        <w:rPr>
          <w:rFonts w:hint="eastAsia"/>
        </w:rPr>
        <w:t>为了</w:t>
      </w:r>
      <w:r w:rsidR="00666907" w:rsidRPr="00D64BF0">
        <w:t>GPU</w:t>
      </w:r>
      <w:r w:rsidR="00666907">
        <w:t>可以访问顶点数组，需要把它们放在称为缓冲区</w:t>
      </w:r>
      <w:r w:rsidR="00666907" w:rsidRPr="00D64BF0">
        <w:t>的GPU资源（ID3D12Resource</w:t>
      </w:r>
      <w:r w:rsidR="00666907">
        <w:t>）里。</w:t>
      </w:r>
    </w:p>
    <w:p w:rsidR="00F85029" w:rsidRPr="008E4CBB" w:rsidRDefault="00F85029">
      <w:pPr>
        <w:rPr>
          <w:b/>
          <w:color w:val="70AD47" w:themeColor="accent6"/>
        </w:rPr>
      </w:pPr>
      <w:r w:rsidRPr="008E4CBB">
        <w:rPr>
          <w:rFonts w:hint="eastAsia"/>
          <w:b/>
          <w:color w:val="70AD47" w:themeColor="accent6"/>
        </w:rPr>
        <w:t>How：</w:t>
      </w:r>
    </w:p>
    <w:p w:rsidR="00595885" w:rsidRPr="008E4CBB" w:rsidRDefault="00595885">
      <w:pPr>
        <w:rPr>
          <w:b/>
          <w:color w:val="70AD47" w:themeColor="accent6"/>
        </w:rPr>
      </w:pPr>
      <w:r w:rsidRPr="008E4CBB">
        <w:rPr>
          <w:b/>
          <w:color w:val="70AD47" w:themeColor="accent6"/>
        </w:rPr>
        <w:tab/>
      </w:r>
      <w:r w:rsidR="00C444D1" w:rsidRPr="008E4CBB">
        <w:rPr>
          <w:rFonts w:hint="eastAsia"/>
          <w:b/>
          <w:color w:val="70AD47" w:themeColor="accent6"/>
        </w:rPr>
        <w:t>顶点的处理流程</w:t>
      </w:r>
      <w:r w:rsidRPr="008E4CBB">
        <w:rPr>
          <w:rFonts w:hint="eastAsia"/>
          <w:b/>
          <w:color w:val="70AD47" w:themeColor="accent6"/>
        </w:rPr>
        <w:t>？</w:t>
      </w:r>
    </w:p>
    <w:p w:rsidR="00595885" w:rsidRDefault="00595885">
      <w:pPr>
        <w:rPr>
          <w:rFonts w:hint="eastAsia"/>
        </w:rPr>
      </w:pPr>
      <w:r>
        <w:tab/>
      </w:r>
      <w:r w:rsidR="00935170">
        <w:t>1</w:t>
      </w:r>
      <w:r w:rsidR="00935170">
        <w:rPr>
          <w:rFonts w:hint="eastAsia"/>
        </w:rPr>
        <w:t>，</w:t>
      </w:r>
      <w:r w:rsidR="00EC7EC9" w:rsidRPr="00EC7EC9">
        <w:rPr>
          <w:rFonts w:hint="eastAsia"/>
        </w:rPr>
        <w:t>我们先通过填写</w:t>
      </w:r>
      <w:r w:rsidR="00EC7EC9" w:rsidRPr="00EC7EC9">
        <w:t>D3D12_RESOURCE_DESC结构体来描述缓冲区资源，接着再调用ID3D12Device::CreateCommittedResource方法去创建ID3D12Resource对象。</w:t>
      </w:r>
    </w:p>
    <w:p w:rsidR="006F52F5" w:rsidRDefault="006F52F5">
      <w:r>
        <w:tab/>
      </w:r>
      <w:r w:rsidR="00B52D9F">
        <w:t>2</w:t>
      </w:r>
      <w:r w:rsidR="00B52D9F">
        <w:rPr>
          <w:rFonts w:hint="eastAsia"/>
        </w:rPr>
        <w:t>，</w:t>
      </w:r>
      <w:r w:rsidR="005C348E" w:rsidRPr="005C348E">
        <w:rPr>
          <w:rFonts w:hint="eastAsia"/>
        </w:rPr>
        <w:t>对于静态几何体（</w:t>
      </w:r>
      <w:r w:rsidR="005C348E" w:rsidRPr="005C348E">
        <w:t>即每一帧都不会发生改变的几何体）而言，我们会将其顶点缓冲区置于默认堆（D3D12_HEAP_TYPE_DEFAULT）中来优化性能。</w:t>
      </w:r>
    </w:p>
    <w:p w:rsidR="00A450C3" w:rsidRDefault="002F1690" w:rsidP="00F70318">
      <w:pPr>
        <w:ind w:firstLine="420"/>
      </w:pPr>
      <w:r>
        <w:rPr>
          <w:rFonts w:hint="eastAsia"/>
        </w:rPr>
        <w:t>3，</w:t>
      </w:r>
      <w:r w:rsidR="00A450C3">
        <w:t>CPU不能向默认堆中的顶点缓冲区写入数据</w:t>
      </w:r>
      <w:r w:rsidR="00F70318">
        <w:rPr>
          <w:rFonts w:hint="eastAsia"/>
        </w:rPr>
        <w:t>。</w:t>
      </w:r>
      <w:r w:rsidR="00191D2B">
        <w:rPr>
          <w:rFonts w:hint="eastAsia"/>
        </w:rPr>
        <w:t>因此，</w:t>
      </w:r>
      <w:r w:rsidR="00A450C3">
        <w:rPr>
          <w:rFonts w:hint="eastAsia"/>
        </w:rPr>
        <w:t>我们还需用</w:t>
      </w:r>
      <w:r w:rsidR="00A450C3">
        <w:t>D3D12_HEAP_TYPE_UPLOAD</w:t>
      </w:r>
      <w:r w:rsidR="00560FD9">
        <w:t>这种堆类型来创建一个处于中介位置的上传缓冲区</w:t>
      </w:r>
      <w:r w:rsidR="00A450C3">
        <w:t>资源。</w:t>
      </w:r>
    </w:p>
    <w:p w:rsidR="00C444D1" w:rsidRDefault="00B045D1" w:rsidP="00B045D1">
      <w:pPr>
        <w:ind w:firstLine="420"/>
      </w:pPr>
      <w:r>
        <w:rPr>
          <w:rFonts w:hint="eastAsia"/>
        </w:rPr>
        <w:t>4，</w:t>
      </w:r>
      <w:r w:rsidR="00C444D1" w:rsidRPr="00C444D1">
        <w:rPr>
          <w:rFonts w:hint="eastAsia"/>
        </w:rPr>
        <w:t>为了将顶点缓冲</w:t>
      </w:r>
      <w:r w:rsidR="00C25515">
        <w:rPr>
          <w:rFonts w:hint="eastAsia"/>
        </w:rPr>
        <w:t>区绑定到渲染流水线上，我们需要给这种资源创建一个顶点缓冲区视图</w:t>
      </w:r>
      <w:r w:rsidR="00C444D1" w:rsidRPr="00C444D1">
        <w:t>。我们无须为顶点缓冲区视图创建描述符堆。</w:t>
      </w:r>
    </w:p>
    <w:p w:rsidR="00C444D1" w:rsidRDefault="00E23B4F" w:rsidP="00E23B4F">
      <w:pPr>
        <w:ind w:firstLine="420"/>
      </w:pPr>
      <w:r>
        <w:rPr>
          <w:rFonts w:hint="eastAsia"/>
        </w:rPr>
        <w:t>5，</w:t>
      </w:r>
      <w:r w:rsidR="00C444D1" w:rsidRPr="00C444D1">
        <w:rPr>
          <w:rFonts w:hint="eastAsia"/>
        </w:rPr>
        <w:t>在顶点缓冲</w:t>
      </w:r>
      <w:r w:rsidR="00390614">
        <w:rPr>
          <w:rFonts w:hint="eastAsia"/>
        </w:rPr>
        <w:t>区及其对应视图创建完成后，便可以将它与渲染流水线上的一个输入槽</w:t>
      </w:r>
      <w:r w:rsidR="00C444D1" w:rsidRPr="00C444D1">
        <w:t>相绑定。这样一来，我们就能向流水线中的输入装配器阶段传递顶点数据了。</w:t>
      </w:r>
    </w:p>
    <w:p w:rsidR="00C444D1" w:rsidRDefault="00E23B4F" w:rsidP="00E23B4F">
      <w:pPr>
        <w:ind w:firstLine="420"/>
        <w:rPr>
          <w:rFonts w:hint="eastAsia"/>
        </w:rPr>
      </w:pPr>
      <w:r>
        <w:rPr>
          <w:rFonts w:hint="eastAsia"/>
        </w:rPr>
        <w:t>6，</w:t>
      </w:r>
      <w:r w:rsidR="00C444D1" w:rsidRPr="00C444D1">
        <w:rPr>
          <w:rFonts w:hint="eastAsia"/>
        </w:rPr>
        <w:t>通过</w:t>
      </w:r>
      <w:r w:rsidR="00C444D1" w:rsidRPr="00C444D1">
        <w:t>ID3D12GraphicsCommandList::DrawInstanced方法绘制顶点。</w:t>
      </w:r>
    </w:p>
    <w:p w:rsidR="0040775F" w:rsidRPr="008E4CBB" w:rsidRDefault="0040775F">
      <w:pPr>
        <w:rPr>
          <w:b/>
          <w:color w:val="70AD47" w:themeColor="accent6"/>
        </w:rPr>
      </w:pPr>
      <w:r>
        <w:tab/>
      </w:r>
      <w:r w:rsidRPr="008E4CBB">
        <w:rPr>
          <w:rFonts w:hint="eastAsia"/>
          <w:b/>
          <w:color w:val="70AD47" w:themeColor="accent6"/>
        </w:rPr>
        <w:t>顶点处理流程简述</w:t>
      </w:r>
    </w:p>
    <w:p w:rsidR="004C65BC" w:rsidRDefault="002F138F" w:rsidP="004C65BC">
      <w:pPr>
        <w:ind w:leftChars="171" w:left="359"/>
      </w:pPr>
      <w:r>
        <w:t>1</w:t>
      </w:r>
      <w:r>
        <w:rPr>
          <w:rFonts w:hint="eastAsia"/>
        </w:rPr>
        <w:t>，</w:t>
      </w:r>
      <w:r w:rsidR="0036333C">
        <w:t>顶点</w:t>
      </w:r>
      <w:r w:rsidR="002B282F">
        <w:rPr>
          <w:rFonts w:hint="eastAsia"/>
        </w:rPr>
        <w:t>结构体和</w:t>
      </w:r>
      <w:r w:rsidR="004C65BC">
        <w:t>输入布局</w:t>
      </w:r>
    </w:p>
    <w:p w:rsidR="007401D4" w:rsidRDefault="00405049" w:rsidP="00B96FB6">
      <w:pPr>
        <w:ind w:leftChars="171" w:left="359"/>
      </w:pPr>
      <w:r>
        <w:rPr>
          <w:rFonts w:hint="eastAsia"/>
        </w:rPr>
        <w:t>2，</w:t>
      </w:r>
      <w:r w:rsidR="003218E6">
        <w:rPr>
          <w:rFonts w:hint="eastAsia"/>
        </w:rPr>
        <w:t>创建</w:t>
      </w:r>
      <w:r w:rsidR="004C65BC">
        <w:t>上传堆资源和默认堆资源</w:t>
      </w:r>
    </w:p>
    <w:p w:rsidR="00396898" w:rsidRDefault="007401D4" w:rsidP="004C65BC">
      <w:pPr>
        <w:ind w:leftChars="171" w:left="359"/>
      </w:pPr>
      <w:r>
        <w:t>3</w:t>
      </w:r>
      <w:r>
        <w:rPr>
          <w:rFonts w:hint="eastAsia"/>
        </w:rPr>
        <w:t>，</w:t>
      </w:r>
      <w:r w:rsidR="00BA246A" w:rsidRPr="00EC7EC9">
        <w:t>创建</w:t>
      </w:r>
      <w:r w:rsidR="00396898">
        <w:rPr>
          <w:rFonts w:hint="eastAsia"/>
        </w:rPr>
        <w:t>顶点缓冲区，</w:t>
      </w:r>
      <w:r w:rsidR="00BA246A" w:rsidRPr="00EC7EC9">
        <w:t>ID3D12Resource对象</w:t>
      </w:r>
    </w:p>
    <w:p w:rsidR="00DB1D49" w:rsidRDefault="005312D9" w:rsidP="004C65BC">
      <w:pPr>
        <w:ind w:leftChars="171" w:left="359"/>
      </w:pPr>
      <w:r>
        <w:rPr>
          <w:rFonts w:hint="eastAsia"/>
        </w:rPr>
        <w:t>4，</w:t>
      </w:r>
      <w:r w:rsidR="004C65BC">
        <w:t>创建描述符，</w:t>
      </w:r>
    </w:p>
    <w:p w:rsidR="004C65BC" w:rsidRDefault="00DB1D49" w:rsidP="004C65BC">
      <w:pPr>
        <w:ind w:leftChars="171" w:left="359"/>
      </w:pPr>
      <w:r>
        <w:rPr>
          <w:rFonts w:hint="eastAsia"/>
        </w:rPr>
        <w:t>5，</w:t>
      </w:r>
      <w:r w:rsidR="004C65BC">
        <w:t>将描述符绑定到流水线</w:t>
      </w:r>
    </w:p>
    <w:p w:rsidR="004C65BC" w:rsidRDefault="00043937" w:rsidP="004C65BC">
      <w:pPr>
        <w:ind w:leftChars="171" w:left="359"/>
      </w:pPr>
      <w:r>
        <w:rPr>
          <w:rFonts w:hint="eastAsia"/>
        </w:rPr>
        <w:t>6，</w:t>
      </w:r>
      <w:r w:rsidR="004C65BC">
        <w:rPr>
          <w:rFonts w:hint="eastAsia"/>
        </w:rPr>
        <w:t>绘制顶点数据</w:t>
      </w:r>
    </w:p>
    <w:p w:rsidR="001B4F19" w:rsidRDefault="001B4F19"/>
    <w:p w:rsidR="00954E70" w:rsidRDefault="00954E70">
      <w:r>
        <w:rPr>
          <w:rFonts w:hint="eastAsia"/>
        </w:rPr>
        <w:t>索引和索引缓冲区</w:t>
      </w:r>
    </w:p>
    <w:p w:rsidR="00954E70" w:rsidRDefault="003E056E">
      <w:r>
        <w:rPr>
          <w:rFonts w:hint="eastAsia"/>
        </w:rPr>
        <w:lastRenderedPageBreak/>
        <w:t>What</w:t>
      </w:r>
      <w:r>
        <w:t>:</w:t>
      </w:r>
    </w:p>
    <w:p w:rsidR="00A9530C" w:rsidRDefault="00A9530C">
      <w:r>
        <w:tab/>
      </w:r>
      <w:r w:rsidRPr="00A9530C">
        <w:rPr>
          <w:rFonts w:hint="eastAsia"/>
        </w:rPr>
        <w:t>我们称存储索引的缓冲区为索引缓冲区</w:t>
      </w:r>
      <w:r w:rsidR="002C65A9">
        <w:rPr>
          <w:rFonts w:hint="eastAsia"/>
        </w:rPr>
        <w:t>。</w:t>
      </w:r>
    </w:p>
    <w:p w:rsidR="003E056E" w:rsidRDefault="003E056E">
      <w:r>
        <w:t>Why:</w:t>
      </w:r>
    </w:p>
    <w:p w:rsidR="00E11D7E" w:rsidRDefault="00E11D7E">
      <w:r>
        <w:tab/>
      </w:r>
      <w:r w:rsidRPr="00E11D7E">
        <w:rPr>
          <w:rFonts w:hint="eastAsia"/>
        </w:rPr>
        <w:t>为了使</w:t>
      </w:r>
      <w:r w:rsidRPr="00E11D7E">
        <w:t>GPU可以访问索引数组，就需要将它们放置于GPU的缓冲区资源（ID3D12Resource）内。</w:t>
      </w:r>
    </w:p>
    <w:p w:rsidR="003E056E" w:rsidRDefault="003E056E">
      <w:r>
        <w:t>How:</w:t>
      </w:r>
    </w:p>
    <w:p w:rsidR="003E056E" w:rsidRDefault="00F61EC7">
      <w:r>
        <w:tab/>
      </w:r>
      <w:r>
        <w:rPr>
          <w:rFonts w:hint="eastAsia"/>
        </w:rPr>
        <w:t>索引的处理流程</w:t>
      </w:r>
    </w:p>
    <w:p w:rsidR="00F61EC7" w:rsidRDefault="00F61EC7">
      <w:r>
        <w:tab/>
      </w:r>
      <w:r w:rsidR="004307A0" w:rsidRPr="004307A0">
        <w:rPr>
          <w:rFonts w:hint="eastAsia"/>
        </w:rPr>
        <w:t>为了使索引缓冲区与渲染流水线绑定，我们需要给索引缓冲区资源创建一个索引缓冲区视图（</w:t>
      </w:r>
      <w:r w:rsidR="004307A0" w:rsidRPr="004307A0">
        <w:t>index buffer view）。如同顶点缓冲区视图一样，我们也无须为索引缓冲区视图创建描述符堆。</w:t>
      </w:r>
    </w:p>
    <w:p w:rsidR="005E1A6C" w:rsidRDefault="005E1A6C">
      <w:r>
        <w:tab/>
      </w:r>
      <w:r w:rsidRPr="005E1A6C">
        <w:rPr>
          <w:rFonts w:hint="eastAsia"/>
        </w:rPr>
        <w:t>与顶点缓冲区相似（也包括其他的</w:t>
      </w:r>
      <w:r w:rsidRPr="005E1A6C">
        <w:t>Direct3D资源在内），在使用之前，我们需要先将它们绑定到渲染流水线上。</w:t>
      </w:r>
    </w:p>
    <w:p w:rsidR="0069432E" w:rsidRDefault="0069432E">
      <w:r>
        <w:tab/>
      </w:r>
      <w:r w:rsidR="00574107" w:rsidRPr="00574107">
        <w:rPr>
          <w:rFonts w:hint="eastAsia"/>
        </w:rPr>
        <w:t>在使用索引的时候，我们一定要用</w:t>
      </w:r>
      <w:r w:rsidR="00574107" w:rsidRPr="00574107">
        <w:t>ID3D12GraphicsCommandList::DrawIndexedInstanced方法代替DrawInstanced方法进行绘制。</w:t>
      </w:r>
    </w:p>
    <w:p w:rsidR="00953F7A" w:rsidRDefault="00953F7A"/>
    <w:p w:rsidR="00953F7A" w:rsidRDefault="00953F7A">
      <w:r>
        <w:rPr>
          <w:rFonts w:hint="eastAsia"/>
        </w:rPr>
        <w:t>常量缓冲区</w:t>
      </w:r>
    </w:p>
    <w:p w:rsidR="00953F7A" w:rsidRDefault="00867001">
      <w:r>
        <w:rPr>
          <w:rFonts w:hint="eastAsia"/>
        </w:rPr>
        <w:t>W</w:t>
      </w:r>
      <w:r>
        <w:t>hat:</w:t>
      </w:r>
    </w:p>
    <w:p w:rsidR="00616343" w:rsidRDefault="00616343">
      <w:r>
        <w:tab/>
      </w:r>
      <w:r w:rsidR="00A62811">
        <w:rPr>
          <w:rFonts w:hint="eastAsia"/>
        </w:rPr>
        <w:t>常量缓冲区</w:t>
      </w:r>
      <w:r w:rsidRPr="00616343">
        <w:t>也是一种GPU资源（ID3D12Resource），其数据内容可供着色器程序所引用。</w:t>
      </w:r>
    </w:p>
    <w:p w:rsidR="00867001" w:rsidRDefault="00867001">
      <w:r>
        <w:t>Why:</w:t>
      </w:r>
    </w:p>
    <w:p w:rsidR="00867001" w:rsidRDefault="00867001">
      <w:r>
        <w:t>How:</w:t>
      </w:r>
    </w:p>
    <w:p w:rsidR="00867001" w:rsidRDefault="00BC7ED0">
      <w:r>
        <w:tab/>
      </w:r>
      <w:r w:rsidR="006520C9" w:rsidRPr="006520C9">
        <w:rPr>
          <w:rFonts w:hint="eastAsia"/>
        </w:rPr>
        <w:t>与顶点缓冲区和索引缓冲区不同的是，常量缓冲区通常由</w:t>
      </w:r>
      <w:r w:rsidR="006520C9" w:rsidRPr="006520C9">
        <w:t>CPU每帧更新一次。</w:t>
      </w:r>
      <w:r w:rsidR="00787D85" w:rsidRPr="00787D85">
        <w:rPr>
          <w:rFonts w:hint="eastAsia"/>
        </w:rPr>
        <w:t>所以，我们会把常量缓冲区创建到一个上传堆而非默认堆中，这样做能使我们从</w:t>
      </w:r>
      <w:r w:rsidR="00787D85" w:rsidRPr="00787D85">
        <w:t>CPU端更新常量。</w:t>
      </w:r>
    </w:p>
    <w:p w:rsidR="00235566" w:rsidRDefault="00235566" w:rsidP="00F074C6">
      <w:pPr>
        <w:ind w:firstLine="420"/>
      </w:pPr>
      <w:r w:rsidRPr="00235566">
        <w:rPr>
          <w:rFonts w:hint="eastAsia"/>
        </w:rPr>
        <w:t>常量缓冲区对硬件也有特别的要求，即常量缓冲区的大小必为硬件最小分配空间（</w:t>
      </w:r>
      <w:r w:rsidRPr="00235566">
        <w:t>256B）的整数倍。</w:t>
      </w:r>
    </w:p>
    <w:p w:rsidR="00F074C6" w:rsidRDefault="00F074C6" w:rsidP="00F074C6">
      <w:pPr>
        <w:ind w:firstLine="420"/>
      </w:pPr>
      <w:r w:rsidRPr="00F074C6">
        <w:rPr>
          <w:rFonts w:hint="eastAsia"/>
        </w:rPr>
        <w:t>待到绘制物体的时候，只要将常量缓冲区视图（</w:t>
      </w:r>
      <w:r w:rsidRPr="00F074C6">
        <w:t>Constant Buffer View，CBV）绑定到存有物体相应常量数据的缓冲区子区域即可。</w:t>
      </w:r>
    </w:p>
    <w:p w:rsidR="003F5414" w:rsidRDefault="003F5414" w:rsidP="00F074C6">
      <w:pPr>
        <w:ind w:firstLine="420"/>
      </w:pPr>
    </w:p>
    <w:p w:rsidR="003F5414" w:rsidRDefault="003F5414" w:rsidP="00F074C6">
      <w:pPr>
        <w:ind w:firstLine="420"/>
      </w:pPr>
      <w:r>
        <w:rPr>
          <w:rFonts w:hint="eastAsia"/>
        </w:rPr>
        <w:t>更新常量缓冲区</w:t>
      </w:r>
    </w:p>
    <w:p w:rsidR="003F5414" w:rsidRDefault="00B132F3" w:rsidP="00F074C6">
      <w:pPr>
        <w:ind w:firstLine="420"/>
      </w:pPr>
      <w:r w:rsidRPr="00B132F3">
        <w:rPr>
          <w:rFonts w:hint="eastAsia"/>
        </w:rPr>
        <w:t>我们首先要获得指向欲更新资源数据的指针，可用</w:t>
      </w:r>
      <w:r w:rsidRPr="00B132F3">
        <w:t>Map方法来做到这一点</w:t>
      </w:r>
      <w:r w:rsidR="008A7FE9">
        <w:rPr>
          <w:rFonts w:hint="eastAsia"/>
        </w:rPr>
        <w:t>。</w:t>
      </w:r>
    </w:p>
    <w:p w:rsidR="008A7FE9" w:rsidRDefault="008A7FE9" w:rsidP="00F074C6">
      <w:pPr>
        <w:ind w:firstLine="420"/>
      </w:pPr>
      <w:r w:rsidRPr="008A7FE9">
        <w:rPr>
          <w:rFonts w:hint="eastAsia"/>
        </w:rPr>
        <w:t>我们利用</w:t>
      </w:r>
      <w:r w:rsidRPr="008A7FE9">
        <w:t>memcpy函数将数据从系统内存（system memory，也就是CPU</w:t>
      </w:r>
      <w:r>
        <w:t>端控制的内存）复制到常量缓冲区</w:t>
      </w:r>
      <w:r>
        <w:rPr>
          <w:rFonts w:hint="eastAsia"/>
        </w:rPr>
        <w:t>。</w:t>
      </w:r>
    </w:p>
    <w:p w:rsidR="008A7FE9" w:rsidRDefault="008A7FE9" w:rsidP="00F074C6">
      <w:pPr>
        <w:ind w:firstLine="420"/>
      </w:pPr>
      <w:r w:rsidRPr="008A7FE9">
        <w:rPr>
          <w:rFonts w:hint="eastAsia"/>
        </w:rPr>
        <w:t>当常量缓冲区更新完成后，我们应在释放映射内存之前对其进行</w:t>
      </w:r>
      <w:r w:rsidRPr="008A7FE9">
        <w:t>Unmap</w:t>
      </w:r>
      <w:r>
        <w:t>（取消映射）</w:t>
      </w:r>
      <w:r>
        <w:rPr>
          <w:rFonts w:hint="eastAsia"/>
        </w:rPr>
        <w:t>操作。</w:t>
      </w:r>
    </w:p>
    <w:p w:rsidR="008A7FE9" w:rsidRDefault="00297A48" w:rsidP="00F074C6">
      <w:pPr>
        <w:ind w:firstLine="420"/>
      </w:pPr>
      <w:r w:rsidRPr="00297A48">
        <w:rPr>
          <w:rFonts w:hint="eastAsia"/>
        </w:rPr>
        <w:t>将上传缓冲区的相关操作简单地封装一下，使用起来会更加方便。我们在</w:t>
      </w:r>
      <w:r w:rsidRPr="00297A48">
        <w:t>UploadBuffer.h</w:t>
      </w:r>
      <w:r>
        <w:t>文件中定义了下面这个类</w:t>
      </w:r>
      <w:r>
        <w:rPr>
          <w:rFonts w:hint="eastAsia"/>
        </w:rPr>
        <w:t>。</w:t>
      </w:r>
    </w:p>
    <w:p w:rsidR="00297A48" w:rsidRDefault="00297A48" w:rsidP="00F074C6">
      <w:pPr>
        <w:ind w:firstLine="420"/>
      </w:pPr>
    </w:p>
    <w:p w:rsidR="00297A48" w:rsidRDefault="00297A48" w:rsidP="00F074C6">
      <w:pPr>
        <w:ind w:firstLine="420"/>
      </w:pPr>
      <w:r>
        <w:rPr>
          <w:rFonts w:hint="eastAsia"/>
        </w:rPr>
        <w:t>常量缓冲区描述符</w:t>
      </w:r>
    </w:p>
    <w:p w:rsidR="00297A48" w:rsidRDefault="00297A48" w:rsidP="00F074C6">
      <w:pPr>
        <w:ind w:firstLine="420"/>
      </w:pPr>
      <w:r w:rsidRPr="00297A48">
        <w:rPr>
          <w:rFonts w:hint="eastAsia"/>
        </w:rPr>
        <w:t>常量缓冲区描述符都要存放在以</w:t>
      </w:r>
      <w:r w:rsidRPr="00297A48">
        <w:t>D3D12_DESCRIPTOR_HEAP_TYPE_CBV_SRV_UAV类型所建的描述符堆里。这种堆内可以混合存储常量缓冲区描述符、着色器资源描述符和无序访问（unordered access）描述符。</w:t>
      </w:r>
    </w:p>
    <w:p w:rsidR="0009698F" w:rsidRDefault="0009698F" w:rsidP="0009698F"/>
    <w:p w:rsidR="0009698F" w:rsidRDefault="0009698F" w:rsidP="0009698F">
      <w:r>
        <w:rPr>
          <w:rFonts w:hint="eastAsia"/>
        </w:rPr>
        <w:t>根签名和描述符表</w:t>
      </w:r>
    </w:p>
    <w:p w:rsidR="0009698F" w:rsidRDefault="006A7B90" w:rsidP="0009698F">
      <w:r>
        <w:rPr>
          <w:rFonts w:hint="eastAsia"/>
        </w:rPr>
        <w:lastRenderedPageBreak/>
        <w:t>What：</w:t>
      </w:r>
    </w:p>
    <w:p w:rsidR="00DB0C1E" w:rsidRDefault="00DB0C1E" w:rsidP="0009698F">
      <w:pPr>
        <w:rPr>
          <w:rFonts w:hint="eastAsia"/>
        </w:rPr>
      </w:pPr>
      <w:r>
        <w:tab/>
      </w:r>
      <w:r w:rsidRPr="00DB0C1E">
        <w:rPr>
          <w:rFonts w:hint="eastAsia"/>
        </w:rPr>
        <w:t>根签名（</w:t>
      </w:r>
      <w:r w:rsidRPr="00DB0C1E">
        <w:t>root signature）定义的是：在执行绘制命令之前，那些应用程序将绑定到渲染流水线上的资源，它们会被映射到着色器的对应输入寄存器。</w:t>
      </w:r>
    </w:p>
    <w:p w:rsidR="006A7B90" w:rsidRDefault="006A7B90" w:rsidP="0009698F">
      <w:r>
        <w:rPr>
          <w:rFonts w:hint="eastAsia"/>
        </w:rPr>
        <w:t>Why：</w:t>
      </w:r>
    </w:p>
    <w:p w:rsidR="0056643E" w:rsidRDefault="0056643E" w:rsidP="0009698F">
      <w:pPr>
        <w:rPr>
          <w:rFonts w:hint="eastAsia"/>
        </w:rPr>
      </w:pPr>
    </w:p>
    <w:p w:rsidR="006A7B90" w:rsidRDefault="006A7B90" w:rsidP="0009698F">
      <w:r>
        <w:rPr>
          <w:rFonts w:hint="eastAsia"/>
        </w:rPr>
        <w:t>How：</w:t>
      </w:r>
    </w:p>
    <w:p w:rsidR="0056643E" w:rsidRDefault="0056643E" w:rsidP="0009698F">
      <w:r>
        <w:tab/>
      </w:r>
      <w:r w:rsidR="003602DA">
        <w:rPr>
          <w:rFonts w:hint="eastAsia"/>
        </w:rPr>
        <w:t>根参数</w:t>
      </w:r>
    </w:p>
    <w:p w:rsidR="003602DA" w:rsidRDefault="003602DA" w:rsidP="0009698F">
      <w:r>
        <w:tab/>
      </w:r>
      <w:r w:rsidR="005D5655" w:rsidRPr="005D5655">
        <w:rPr>
          <w:rFonts w:hint="eastAsia"/>
        </w:rPr>
        <w:t>在</w:t>
      </w:r>
      <w:r w:rsidR="005D5655" w:rsidRPr="005D5655">
        <w:t>Direct3D中，根签名由ID3D12RootSignature接口来表示，并以一组描述绘制调用过程中着色器所需资源的根参数（root parameter）定义而成。根参数可以是根常量（root constant）、根描述符（root descriptor）或者描述符表（descriptor table）。</w:t>
      </w:r>
    </w:p>
    <w:p w:rsidR="008B1F6C" w:rsidRDefault="008B1F6C" w:rsidP="0009698F">
      <w:r>
        <w:tab/>
      </w:r>
      <w:r w:rsidR="001B1B3A" w:rsidRPr="001B1B3A">
        <w:rPr>
          <w:rFonts w:hint="eastAsia"/>
        </w:rPr>
        <w:t>根签名只定义了应用程序要绑定到渲染流水线的资源，却没有真正地执行任何资源绑定操作。只要率先通过命令列表（</w:t>
      </w:r>
      <w:r w:rsidR="001B1B3A" w:rsidRPr="001B1B3A">
        <w:t>command list）设置好根签名，我们就能用ID3D12GraphicsCommandList::SetGraphicsRootDescriptorTable方法令描述符表与渲染流水线相绑定。</w:t>
      </w:r>
    </w:p>
    <w:p w:rsidR="00FC54EC" w:rsidRDefault="00FC54EC" w:rsidP="0009698F"/>
    <w:p w:rsidR="00FC54EC" w:rsidRDefault="00FC54EC" w:rsidP="0009698F">
      <w:r>
        <w:rPr>
          <w:rFonts w:hint="eastAsia"/>
        </w:rPr>
        <w:t>编译着色器</w:t>
      </w:r>
    </w:p>
    <w:p w:rsidR="00FC54EC" w:rsidRDefault="00813C6B" w:rsidP="0009698F">
      <w:r>
        <w:rPr>
          <w:rFonts w:hint="eastAsia"/>
        </w:rPr>
        <w:t>What：</w:t>
      </w:r>
    </w:p>
    <w:p w:rsidR="00813C6B" w:rsidRDefault="00813C6B" w:rsidP="0009698F">
      <w:r>
        <w:rPr>
          <w:rFonts w:hint="eastAsia"/>
        </w:rPr>
        <w:t>Why：</w:t>
      </w:r>
    </w:p>
    <w:p w:rsidR="00F544F9" w:rsidRDefault="00F544F9" w:rsidP="0009698F">
      <w:pPr>
        <w:rPr>
          <w:rFonts w:hint="eastAsia"/>
        </w:rPr>
      </w:pPr>
      <w:r>
        <w:tab/>
      </w:r>
      <w:r w:rsidRPr="00F544F9">
        <w:rPr>
          <w:rFonts w:hint="eastAsia"/>
        </w:rPr>
        <w:t>在</w:t>
      </w:r>
      <w:r w:rsidRPr="00F544F9">
        <w:t>Direct3D中，着色器程序必须先被编译为一种可移植的字节码。接下来，图形驱动程序将获取这些字节码，并将其重新编译为针对当前系统GPU所优化的本地指令</w:t>
      </w:r>
      <w:r w:rsidR="00DD14CA">
        <w:rPr>
          <w:rFonts w:hint="eastAsia"/>
        </w:rPr>
        <w:t>。</w:t>
      </w:r>
    </w:p>
    <w:p w:rsidR="00813C6B" w:rsidRDefault="00813C6B" w:rsidP="0009698F">
      <w:r>
        <w:rPr>
          <w:rFonts w:hint="eastAsia"/>
        </w:rPr>
        <w:t>How：</w:t>
      </w:r>
    </w:p>
    <w:p w:rsidR="00813C6B" w:rsidRDefault="00813C6B" w:rsidP="0009698F">
      <w:r>
        <w:tab/>
      </w:r>
      <w:r w:rsidR="00703F95" w:rsidRPr="00703F95">
        <w:rPr>
          <w:rFonts w:hint="eastAsia"/>
        </w:rPr>
        <w:t>我们可以在运行期间用下列函数对着色器进行编译。</w:t>
      </w:r>
    </w:p>
    <w:p w:rsidR="00C42357" w:rsidRDefault="00C42357" w:rsidP="00C42357">
      <w:r>
        <w:rPr>
          <w:rFonts w:hint="eastAsia"/>
        </w:rPr>
        <w:t>H</w:t>
      </w:r>
      <w:r>
        <w:t>RESULT D3DCompileFromFile(</w:t>
      </w:r>
    </w:p>
    <w:p w:rsidR="00C42357" w:rsidRDefault="00C42357" w:rsidP="00C42357">
      <w:r>
        <w:t xml:space="preserve">  LPCWSTR pFileName,</w:t>
      </w:r>
    </w:p>
    <w:p w:rsidR="00C42357" w:rsidRDefault="00C42357" w:rsidP="00C42357">
      <w:r>
        <w:t xml:space="preserve">  const D3D_SHADER_MACRO *pDefines,</w:t>
      </w:r>
    </w:p>
    <w:p w:rsidR="00C42357" w:rsidRDefault="00C42357" w:rsidP="00C42357">
      <w:r>
        <w:t xml:space="preserve">  ID3DInclude *pInclude,</w:t>
      </w:r>
    </w:p>
    <w:p w:rsidR="00C42357" w:rsidRDefault="00C42357" w:rsidP="00C42357">
      <w:r>
        <w:t xml:space="preserve">  LPCSTR pEntrypoint,</w:t>
      </w:r>
    </w:p>
    <w:p w:rsidR="00C42357" w:rsidRDefault="00C42357" w:rsidP="00C42357">
      <w:r>
        <w:t xml:space="preserve">  LPCSTR pTarget,</w:t>
      </w:r>
    </w:p>
    <w:p w:rsidR="00C42357" w:rsidRDefault="00C42357" w:rsidP="00C42357">
      <w:r>
        <w:t xml:space="preserve">  UINT Flags1,</w:t>
      </w:r>
    </w:p>
    <w:p w:rsidR="00C42357" w:rsidRDefault="00C42357" w:rsidP="00C42357">
      <w:r>
        <w:t xml:space="preserve">  UINT Flags2,</w:t>
      </w:r>
    </w:p>
    <w:p w:rsidR="00C42357" w:rsidRDefault="00C42357" w:rsidP="00C42357">
      <w:r>
        <w:t xml:space="preserve">  ID3DBlob **ppCode,</w:t>
      </w:r>
    </w:p>
    <w:p w:rsidR="006A7B90" w:rsidRDefault="00C42357" w:rsidP="00C42357">
      <w:r>
        <w:t xml:space="preserve">  ID3DBlob **ppErrorMsgs);</w:t>
      </w:r>
      <w:r w:rsidR="00E54973">
        <w:tab/>
      </w:r>
    </w:p>
    <w:p w:rsidR="00FD576A" w:rsidRDefault="00FD576A" w:rsidP="00C42357">
      <w:r>
        <w:tab/>
      </w:r>
      <w:r>
        <w:rPr>
          <w:rFonts w:hint="eastAsia"/>
        </w:rPr>
        <w:t>离线编译</w:t>
      </w:r>
    </w:p>
    <w:p w:rsidR="00FD576A" w:rsidRDefault="00FD576A" w:rsidP="00C42357">
      <w:r>
        <w:tab/>
      </w:r>
      <w:r w:rsidR="001D089D" w:rsidRPr="001D089D">
        <w:rPr>
          <w:rFonts w:hint="eastAsia"/>
        </w:rPr>
        <w:t>为了以离线的方式编译着色器，我们将使用</w:t>
      </w:r>
      <w:r w:rsidR="001D089D" w:rsidRPr="001D089D">
        <w:t>DirectX自带的FXC命令行编译工具。</w:t>
      </w:r>
    </w:p>
    <w:p w:rsidR="001D089D" w:rsidRDefault="001D089D" w:rsidP="001D089D">
      <w:pPr>
        <w:ind w:firstLine="420"/>
      </w:pPr>
      <w:r w:rsidRPr="001D089D">
        <w:rPr>
          <w:rFonts w:hint="eastAsia"/>
        </w:rPr>
        <w:t>利用</w:t>
      </w:r>
      <w:r w:rsidRPr="001D089D">
        <w:t>Visual Studio离线编译着色器</w:t>
      </w:r>
    </w:p>
    <w:p w:rsidR="001D089D" w:rsidRDefault="001D089D" w:rsidP="001D089D"/>
    <w:p w:rsidR="001D089D" w:rsidRDefault="001D089D" w:rsidP="001D089D">
      <w:r>
        <w:rPr>
          <w:rFonts w:hint="eastAsia"/>
        </w:rPr>
        <w:t>光栅器状态</w:t>
      </w:r>
    </w:p>
    <w:p w:rsidR="001D089D" w:rsidRDefault="001D089D" w:rsidP="001D089D">
      <w:r>
        <w:rPr>
          <w:rFonts w:hint="eastAsia"/>
        </w:rPr>
        <w:t>What：</w:t>
      </w:r>
    </w:p>
    <w:p w:rsidR="00531E88" w:rsidRDefault="00531E88" w:rsidP="001D089D">
      <w:pPr>
        <w:rPr>
          <w:rFonts w:hint="eastAsia"/>
        </w:rPr>
      </w:pPr>
      <w:r>
        <w:tab/>
      </w:r>
      <w:r w:rsidRPr="00531E88">
        <w:rPr>
          <w:rFonts w:hint="eastAsia"/>
        </w:rPr>
        <w:t>当今渲染流水线中的大多阶段都是可编程的，但是有些特定环节却只能接受配置。例如，用于配置渲染流水线中光栅化阶段的光栅器状态（</w:t>
      </w:r>
      <w:r w:rsidRPr="00531E88">
        <w:t>rasterizer state）组由结构体D3D12_RASTERIZER_DESC来表示</w:t>
      </w:r>
    </w:p>
    <w:p w:rsidR="001D089D" w:rsidRDefault="001D089D" w:rsidP="001D089D">
      <w:r>
        <w:rPr>
          <w:rFonts w:hint="eastAsia"/>
        </w:rPr>
        <w:t>Why：</w:t>
      </w:r>
    </w:p>
    <w:p w:rsidR="001D089D" w:rsidRDefault="001D089D" w:rsidP="001D089D">
      <w:r>
        <w:rPr>
          <w:rFonts w:hint="eastAsia"/>
        </w:rPr>
        <w:t>How：</w:t>
      </w:r>
    </w:p>
    <w:p w:rsidR="001D089D" w:rsidRDefault="001D089D" w:rsidP="001D089D"/>
    <w:p w:rsidR="0010799E" w:rsidRDefault="0010799E" w:rsidP="001D089D">
      <w:r>
        <w:rPr>
          <w:rFonts w:hint="eastAsia"/>
        </w:rPr>
        <w:lastRenderedPageBreak/>
        <w:t>流水线状态对象</w:t>
      </w:r>
    </w:p>
    <w:p w:rsidR="0010799E" w:rsidRDefault="00A461ED" w:rsidP="001D089D">
      <w:r>
        <w:rPr>
          <w:rFonts w:hint="eastAsia"/>
        </w:rPr>
        <w:t>What：</w:t>
      </w:r>
    </w:p>
    <w:p w:rsidR="00E718D9" w:rsidRDefault="00E718D9" w:rsidP="001D089D">
      <w:pPr>
        <w:rPr>
          <w:rFonts w:hint="eastAsia"/>
        </w:rPr>
      </w:pPr>
      <w:r>
        <w:tab/>
      </w:r>
      <w:r w:rsidRPr="00E718D9">
        <w:rPr>
          <w:rFonts w:hint="eastAsia"/>
        </w:rPr>
        <w:t>大多数控制图形流水线状态的对象被统称为流水线状态对象（</w:t>
      </w:r>
      <w:r w:rsidRPr="00E718D9">
        <w:t>Pipeline State Object，PSO），用ID3D12PipelineState</w:t>
      </w:r>
      <w:r>
        <w:t>接口来表示。</w:t>
      </w:r>
    </w:p>
    <w:p w:rsidR="00A461ED" w:rsidRDefault="00A461ED" w:rsidP="001D089D">
      <w:r>
        <w:rPr>
          <w:rFonts w:hint="eastAsia"/>
        </w:rPr>
        <w:t>Why：</w:t>
      </w:r>
    </w:p>
    <w:p w:rsidR="00A461ED" w:rsidRDefault="00A461ED" w:rsidP="001D089D">
      <w:r>
        <w:rPr>
          <w:rFonts w:hint="eastAsia"/>
        </w:rPr>
        <w:t>How：</w:t>
      </w:r>
    </w:p>
    <w:p w:rsidR="00A461ED" w:rsidRDefault="00E718D9" w:rsidP="001D089D">
      <w:r>
        <w:tab/>
      </w:r>
      <w:r w:rsidRPr="00E718D9">
        <w:t>Direct3D实质上就是一种状态机（state machine），里面的事物会保持它们各自的状态，直到我们将其改变。</w:t>
      </w:r>
    </w:p>
    <w:p w:rsidR="00F4252A" w:rsidRDefault="00F4252A" w:rsidP="001D089D">
      <w:pPr>
        <w:rPr>
          <w:rFonts w:hint="eastAsia"/>
        </w:rPr>
      </w:pPr>
      <w:r>
        <w:tab/>
      </w:r>
      <w:r w:rsidRPr="00F4252A">
        <w:rPr>
          <w:rFonts w:hint="eastAsia"/>
        </w:rPr>
        <w:t>换句话说，如果把一个</w:t>
      </w:r>
      <w:r w:rsidRPr="00F4252A">
        <w:t>PSO与命令列表相绑定，那么，在我们设置另一个PSO或重置命令列表之前，会一直沿用当前的PSO绘制物体。</w:t>
      </w:r>
    </w:p>
    <w:p w:rsidR="000434C8" w:rsidRDefault="000434C8" w:rsidP="001D089D"/>
    <w:p w:rsidR="00ED59F9" w:rsidRPr="00F074C6" w:rsidRDefault="00ED59F9" w:rsidP="001D089D">
      <w:pPr>
        <w:rPr>
          <w:rFonts w:hint="eastAsia"/>
        </w:rPr>
      </w:pPr>
      <w:r>
        <w:rPr>
          <w:rFonts w:hint="eastAsia"/>
        </w:rPr>
        <w:t>实践：立方体演示程序</w:t>
      </w:r>
      <w:bookmarkStart w:id="0" w:name="_GoBack"/>
      <w:bookmarkEnd w:id="0"/>
    </w:p>
    <w:sectPr w:rsidR="00ED59F9" w:rsidRPr="00F07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91"/>
    <w:rsid w:val="0001329D"/>
    <w:rsid w:val="000434C8"/>
    <w:rsid w:val="00043937"/>
    <w:rsid w:val="000944B2"/>
    <w:rsid w:val="0009698F"/>
    <w:rsid w:val="000B1655"/>
    <w:rsid w:val="000F5D70"/>
    <w:rsid w:val="0010799E"/>
    <w:rsid w:val="001158AB"/>
    <w:rsid w:val="0011758F"/>
    <w:rsid w:val="00161C8E"/>
    <w:rsid w:val="001747A6"/>
    <w:rsid w:val="001765F7"/>
    <w:rsid w:val="00191D2B"/>
    <w:rsid w:val="001B1B3A"/>
    <w:rsid w:val="001B4F19"/>
    <w:rsid w:val="001B73FC"/>
    <w:rsid w:val="001C7210"/>
    <w:rsid w:val="001D089D"/>
    <w:rsid w:val="001D244E"/>
    <w:rsid w:val="001D7CCF"/>
    <w:rsid w:val="001E0444"/>
    <w:rsid w:val="002258A6"/>
    <w:rsid w:val="00235566"/>
    <w:rsid w:val="00297A48"/>
    <w:rsid w:val="002A208C"/>
    <w:rsid w:val="002B282F"/>
    <w:rsid w:val="002C65A9"/>
    <w:rsid w:val="002C77BB"/>
    <w:rsid w:val="002F138F"/>
    <w:rsid w:val="002F1690"/>
    <w:rsid w:val="0031571A"/>
    <w:rsid w:val="003166EB"/>
    <w:rsid w:val="003218E6"/>
    <w:rsid w:val="003470EC"/>
    <w:rsid w:val="003602DA"/>
    <w:rsid w:val="0036333C"/>
    <w:rsid w:val="00390614"/>
    <w:rsid w:val="00396898"/>
    <w:rsid w:val="00397232"/>
    <w:rsid w:val="003A3807"/>
    <w:rsid w:val="003B676B"/>
    <w:rsid w:val="003E056E"/>
    <w:rsid w:val="003F5414"/>
    <w:rsid w:val="00405049"/>
    <w:rsid w:val="0040775F"/>
    <w:rsid w:val="004307A0"/>
    <w:rsid w:val="004558AA"/>
    <w:rsid w:val="00497981"/>
    <w:rsid w:val="004B5079"/>
    <w:rsid w:val="004C65BC"/>
    <w:rsid w:val="00511BB6"/>
    <w:rsid w:val="005312D9"/>
    <w:rsid w:val="00531E88"/>
    <w:rsid w:val="00560FD9"/>
    <w:rsid w:val="0056643E"/>
    <w:rsid w:val="00574107"/>
    <w:rsid w:val="00595885"/>
    <w:rsid w:val="005C2A43"/>
    <w:rsid w:val="005C348E"/>
    <w:rsid w:val="005D5655"/>
    <w:rsid w:val="005E1A6C"/>
    <w:rsid w:val="005F1A58"/>
    <w:rsid w:val="005F3F4F"/>
    <w:rsid w:val="00600E72"/>
    <w:rsid w:val="00616343"/>
    <w:rsid w:val="00632233"/>
    <w:rsid w:val="006520C9"/>
    <w:rsid w:val="00666907"/>
    <w:rsid w:val="0066787C"/>
    <w:rsid w:val="00682F30"/>
    <w:rsid w:val="00683DFC"/>
    <w:rsid w:val="006914AB"/>
    <w:rsid w:val="0069432E"/>
    <w:rsid w:val="006A753D"/>
    <w:rsid w:val="006A7B90"/>
    <w:rsid w:val="006B58E8"/>
    <w:rsid w:val="006C306A"/>
    <w:rsid w:val="006F3E33"/>
    <w:rsid w:val="006F52F5"/>
    <w:rsid w:val="0070071D"/>
    <w:rsid w:val="00703F95"/>
    <w:rsid w:val="00726703"/>
    <w:rsid w:val="007401D4"/>
    <w:rsid w:val="00751932"/>
    <w:rsid w:val="00787D85"/>
    <w:rsid w:val="007C1707"/>
    <w:rsid w:val="00813C6B"/>
    <w:rsid w:val="00825413"/>
    <w:rsid w:val="0085454D"/>
    <w:rsid w:val="00867001"/>
    <w:rsid w:val="008A7FE9"/>
    <w:rsid w:val="008B0A2C"/>
    <w:rsid w:val="008B1F6C"/>
    <w:rsid w:val="008E4CBB"/>
    <w:rsid w:val="008F42AD"/>
    <w:rsid w:val="0091673E"/>
    <w:rsid w:val="00922691"/>
    <w:rsid w:val="00930F80"/>
    <w:rsid w:val="00935170"/>
    <w:rsid w:val="00935815"/>
    <w:rsid w:val="00953F7A"/>
    <w:rsid w:val="00954E70"/>
    <w:rsid w:val="00996006"/>
    <w:rsid w:val="00A17CB7"/>
    <w:rsid w:val="00A3161B"/>
    <w:rsid w:val="00A366D7"/>
    <w:rsid w:val="00A450C3"/>
    <w:rsid w:val="00A461ED"/>
    <w:rsid w:val="00A46E3E"/>
    <w:rsid w:val="00A62811"/>
    <w:rsid w:val="00A9530C"/>
    <w:rsid w:val="00AC0119"/>
    <w:rsid w:val="00B02DED"/>
    <w:rsid w:val="00B045D1"/>
    <w:rsid w:val="00B132F3"/>
    <w:rsid w:val="00B52D9F"/>
    <w:rsid w:val="00B73415"/>
    <w:rsid w:val="00B96FB6"/>
    <w:rsid w:val="00BA246A"/>
    <w:rsid w:val="00BC7ED0"/>
    <w:rsid w:val="00BD60D8"/>
    <w:rsid w:val="00C078EA"/>
    <w:rsid w:val="00C25515"/>
    <w:rsid w:val="00C42357"/>
    <w:rsid w:val="00C444D1"/>
    <w:rsid w:val="00C57845"/>
    <w:rsid w:val="00C63E74"/>
    <w:rsid w:val="00C8111D"/>
    <w:rsid w:val="00CB4FCF"/>
    <w:rsid w:val="00CC4EAD"/>
    <w:rsid w:val="00CF35EE"/>
    <w:rsid w:val="00D46947"/>
    <w:rsid w:val="00D64BF0"/>
    <w:rsid w:val="00D75D6C"/>
    <w:rsid w:val="00D86B29"/>
    <w:rsid w:val="00DB0C1E"/>
    <w:rsid w:val="00DB1D49"/>
    <w:rsid w:val="00DB48D9"/>
    <w:rsid w:val="00DD14CA"/>
    <w:rsid w:val="00E11D7E"/>
    <w:rsid w:val="00E23B4F"/>
    <w:rsid w:val="00E26902"/>
    <w:rsid w:val="00E54973"/>
    <w:rsid w:val="00E718D9"/>
    <w:rsid w:val="00EC7EC9"/>
    <w:rsid w:val="00ED1025"/>
    <w:rsid w:val="00ED1FAB"/>
    <w:rsid w:val="00ED59F9"/>
    <w:rsid w:val="00F05375"/>
    <w:rsid w:val="00F074C6"/>
    <w:rsid w:val="00F244A2"/>
    <w:rsid w:val="00F4252A"/>
    <w:rsid w:val="00F544F9"/>
    <w:rsid w:val="00F61EC7"/>
    <w:rsid w:val="00F70318"/>
    <w:rsid w:val="00F85029"/>
    <w:rsid w:val="00FB1FC2"/>
    <w:rsid w:val="00FC54EC"/>
    <w:rsid w:val="00FD576A"/>
    <w:rsid w:val="00FF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97D2"/>
  <w15:chartTrackingRefBased/>
  <w15:docId w15:val="{D7A5F2C3-B609-4454-8C2A-BB8E2B8A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447</cp:revision>
  <dcterms:created xsi:type="dcterms:W3CDTF">2021-03-31T12:02:00Z</dcterms:created>
  <dcterms:modified xsi:type="dcterms:W3CDTF">2021-04-01T01:53:00Z</dcterms:modified>
</cp:coreProperties>
</file>