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如何使用python创建和操作word</w:t>
      </w:r>
    </w:p>
    <w:p>
      <w:pPr>
        <w:pStyle w:val="Heading1"/>
      </w:pPr>
      <w:r>
        <w:t>这是一级标题</w:t>
      </w:r>
    </w:p>
    <w:p>
      <w:pPr>
        <w:pStyle w:val="Heading2"/>
      </w:pPr>
      <w:r>
        <w:t>这是二级标题</w:t>
      </w:r>
    </w:p>
    <w:p>
      <w:pPr>
        <w:pStyle w:val="Heading3"/>
      </w:pPr>
      <w:r>
        <w:t>这是三级标题</w:t>
      </w:r>
    </w:p>
    <w:p>
      <w:r>
        <w:t>这是新的段落</w:t>
      </w:r>
    </w:p>
    <w:p>
      <w:pPr>
        <w:pStyle w:val="Title"/>
      </w:pPr>
      <w:r>
        <w:t>这是新的段落内容</w:t>
      </w:r>
    </w:p>
    <w:p>
      <w:r>
        <w:t>在苍茫的大海上，狂风卷集着乌云。在乌云和大海之间，海燕像黑色的闪电，在高傲地飞翔。</w:t>
      </w:r>
      <w:r>
        <w:t>一会儿翅膀碰着波浪，一会儿箭一般地直冲向乌云，它叫喊着，──就在这鸟儿勇敢的叫喊声里，乌云听出了欢乐。</w:t>
      </w:r>
    </w:p>
    <w:p>
      <w:r>
        <w:t xml:space="preserve"> 《老人与海》是海明威的代表作，也是一部象征性的小说。主人公桑提亚哥是一位老渔夫，他经过重重艰险，捕获了“一条不止一千五百磅重的大马林鱼”，但这条大马林鱼却被鲨鱼吃光了，桑提亚哥只拖回了一副鱼的骨架。</w:t>
      </w:r>
      <w:r>
        <w:t>本作品被称为是影响历史的百部经典之一；美国历史上里程碑式的32本书之一 。是世界文学宝库中的珍品，也是海明威全部创作中的瑰宝。1953年5月4日，海明威以作品《老人与海》获普利策奖。</w:t>
      </w:r>
    </w:p>
    <w:p>
      <w:r>
        <w:t>哪个不是你的喜欢的人物：</w:t>
      </w:r>
    </w:p>
    <w:p>
      <w:pPr>
        <w:pStyle w:val="ListBullet"/>
      </w:pPr>
      <w:r>
        <w:t>孔子</w:t>
      </w:r>
    </w:p>
    <w:p>
      <w:pPr>
        <w:pStyle w:val="ListBullet"/>
      </w:pPr>
      <w:r>
        <w:t>孟子</w:t>
      </w:r>
    </w:p>
    <w:p>
      <w:pPr>
        <w:pStyle w:val="ListBullet"/>
      </w:pPr>
      <w:r>
        <w:t>老子</w:t>
      </w:r>
    </w:p>
    <w:p>
      <w:pPr>
        <w:pStyle w:val="ListBullet"/>
      </w:pPr>
      <w:r>
        <w:t>荀子</w:t>
      </w:r>
    </w:p>
    <w:p>
      <w:pPr>
        <w:pStyle w:val="ListBullet"/>
      </w:pPr>
      <w:r>
        <w:t>韩非子</w:t>
      </w:r>
    </w:p>
    <w:p>
      <w:r>
        <w:t>哪个不是你的喜欢的人：</w:t>
      </w:r>
    </w:p>
    <w:p>
      <w:pPr>
        <w:pStyle w:val="ListNumber"/>
      </w:pPr>
      <w:r>
        <w:t>沫子</w:t>
      </w:r>
    </w:p>
    <w:p>
      <w:pPr>
        <w:pStyle w:val="ListNumber"/>
      </w:pPr>
      <w:r>
        <w:t>豚豚</w:t>
      </w:r>
    </w:p>
    <w:p>
      <w:pPr>
        <w:pStyle w:val="ListNumber"/>
      </w:pPr>
      <w:r>
        <w:t>UU</w:t>
      </w:r>
    </w:p>
    <w:p>
      <w:pPr>
        <w:pStyle w:val="ListNumber"/>
      </w:pPr>
      <w:r>
        <w:t>奶兔</w:t>
      </w:r>
    </w:p>
    <w:p>
      <w:pPr>
        <w:pStyle w:val="ListNumber"/>
      </w:pPr>
      <w:r>
        <w:t>奶茶</w:t>
      </w:r>
    </w:p>
    <w:p>
      <w:pPr>
        <w:pStyle w:val="IntenseQuote"/>
      </w:pPr>
      <w:r>
        <w:t>这是一个引用</w:t>
      </w:r>
    </w:p>
    <w:p>
      <w:r>
        <w:drawing>
          <wp:inline xmlns:a="http://schemas.openxmlformats.org/drawingml/2006/main" xmlns:pic="http://schemas.openxmlformats.org/drawingml/2006/picture">
            <wp:extent cx="5486400" cy="494270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ckground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42702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编号</w:t>
            </w:r>
          </w:p>
        </w:tc>
        <w:tc>
          <w:tcPr>
            <w:tcW w:type="dxa" w:w="2880"/>
          </w:tcPr>
          <w:p>
            <w:r>
              <w:t>姓名</w:t>
            </w:r>
          </w:p>
        </w:tc>
        <w:tc>
          <w:tcPr>
            <w:tcW w:type="dxa" w:w="2880"/>
          </w:tcPr>
          <w:p>
            <w:r>
              <w:t>职业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关羽</w:t>
            </w:r>
          </w:p>
        </w:tc>
        <w:tc>
          <w:tcPr>
            <w:tcW w:type="dxa" w:w="2880"/>
          </w:tcPr>
          <w:p>
            <w:r>
              <w:t>将军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诸葛亮</w:t>
            </w:r>
          </w:p>
        </w:tc>
        <w:tc>
          <w:tcPr>
            <w:tcW w:type="dxa" w:w="2880"/>
          </w:tcPr>
          <w:p>
            <w:r>
              <w:t>军师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刘备</w:t>
            </w:r>
          </w:p>
        </w:tc>
        <w:tc>
          <w:tcPr>
            <w:tcW w:type="dxa" w:w="2880"/>
          </w:tcPr>
          <w:p>
            <w:r>
              <w:t>主帅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