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" w:hAnsi="" w:eastAsia="黑体"/>
          <w:color w:val="FF0000"/>
          <w:sz w:val="60"/>
        </w:rPr>
        <w:t>车辆违章处罚通知书</w:t>
      </w:r>
    </w:p>
    <w:p>
      <w:pPr>
        <w:ind w:firstLine="432"/>
      </w:pPr>
      <w:r>
        <w:rPr>
          <w:rFonts w:ascii="" w:hAnsi="" w:eastAsia="黑体"/>
        </w:rPr>
        <w:t>车号 桂A05834车于2024年8月5日14时38分在营运过程中出现（违章）现象，公司按照安全法规和公司相关制度规定决定对该车驾驶员处以500元罚款，要求你在今后的营运过程中严格按照相关法律法规运行。（注：罚款金额请在返程后立即到公司缴纳</w:t>
        <w:br/>
        <w:t>驾驶员保证:</w:t>
        <w:br/>
        <w:t>驾驶员签字:</w:t>
        <w:br/>
        <w:t>年 月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