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0"/>
      </w:pPr>
      <w:r>
        <w:rPr>
          <w:rFonts w:asciiTheme="minorHAnsi" w:hAnsiTheme="minorHAnsi" w:cstheme="minorBidi"/>
          <w:b/>
          <w:sz w:val="28"/>
        </w:rPr>
        <w:t xml:space="preserve">[01] </w:t>
      </w:r>
      <w:r>
        <w:rPr>
          <w:rFonts w:asciiTheme="minorHAnsi" w:hAnsiTheme="minorHAnsi" w:cstheme="minorBidi"/>
          <w:b/>
          <w:sz w:val="28"/>
          <w:highlight w:val="yellow"/>
        </w:rPr>
        <w:t>Lufeng Unit 1</w:t>
      </w:r>
      <w:r>
        <w:rPr>
          <w:rFonts w:asciiTheme="minorHAnsi" w:hAnsiTheme="minorHAnsi" w:cstheme="minorBidi"/>
          <w:b/>
          <w:sz w:val="28"/>
        </w:rPr>
        <w:t xml:space="preserve"> (CGN)| Condenser modules lowered into position</w:t>
      </w:r>
    </w:p>
    <w:p>
      <w:pPr>
        <w:keepNext/>
        <w:spacing w:before="40" w:after="0"/>
      </w:pPr>
      <w:r>
        <w:rPr>
          <w:rFonts w:ascii="微软雅黑" w:hAnsi="微软雅黑" w:eastAsia="微软雅黑" w:cs="Calibri"/>
          <w:b/>
          <w:color w:val="538135"/>
          <w:sz w:val="28"/>
        </w:rPr>
        <w:sym w:font="Wingdings" w:char="F025"/>
      </w:r>
      <w:r>
        <w:rPr>
          <w:rFonts w:ascii="微软雅黑" w:hAnsi="微软雅黑" w:eastAsia="微软雅黑" w:cs="Calibri"/>
          <w:b/>
          <w:i/>
          <w:color w:val="538135"/>
          <w:sz w:val="20"/>
          <w:u w:val="single"/>
        </w:rPr>
        <w:t xml:space="preserve"> Key words: </w:t>
      </w:r>
      <w:r>
        <w:rPr>
          <w:rFonts w:ascii="微软雅黑" w:hAnsi="微软雅黑" w:eastAsia="微软雅黑" w:cs="Calibri"/>
          <w:b/>
          <w:i/>
          <w:color w:val="538135"/>
          <w:sz w:val="20"/>
          <w:u w:val="single"/>
        </w:rPr>
        <w:t>CI MEH, condenser installation, integral module, jacking into position, modularisation</w:t>
      </w:r>
    </w:p>
    <w:p>
      <w:pPr>
        <w:keepNext/>
        <w:spacing w:before="40" w:after="0"/>
      </w:pPr>
      <w:r>
        <w:rPr>
          <w:rFonts w:ascii="Segoe UI Emoji" w:hAnsi="Segoe UI Emoji" w:eastAsia="Segoe UI Emoji" w:cs="Segoe UI Emoji"/>
          <w:i/>
          <w:color w:val="0070C0"/>
          <w:sz w:val="20"/>
        </w:rPr>
        <w:t>🔍</w:t>
      </w:r>
      <w:r>
        <w:rPr>
          <w:rFonts w:ascii="微软雅黑" w:hAnsi="微软雅黑" w:eastAsia="微软雅黑" w:cs="Calibri"/>
          <w:b/>
          <w:i/>
          <w:color w:val="0070C0"/>
          <w:sz w:val="20"/>
          <w:u w:val="single"/>
        </w:rPr>
        <w:t xml:space="preserve">Source:&lt;IN-EN&gt;- </w:t>
      </w:r>
      <w:hyperlink r:id="rId11">
        <w:r>
          <w:rPr>
            <w:rFonts w:ascii="等线" w:hAnsi="等线" w:eastAsia="等线" w:cs="等线"/>
            <w:sz w:val="22"/>
            <w:szCs w:val="22"/>
            <w:color w:val="0070C0"/>
            <w:u w:val="single"/>
          </w:rPr>
          <w:t>陆丰核电1号机组凝汽器安装圆满收官</w:t>
        </w:r>
      </w:hyperlink>
    </w:p>
    <w:p>
      <w:pPr>
        <w:keepLines/>
        <w:spacing w:after="0" w:line="240" w:lineRule="auto"/>
        <w:jc w:val="both"/>
      </w:pPr>
      <w:r>
        <w:drawing>
          <wp:inline distT="0" distB="0" distL="114300" distR="114300">
            <wp:extent cx="5897880" cy="1458010"/>
            <wp:effectExtent l="6350" t="6350" r="88265" b="83185"/>
            <wp:docPr id="1" name="Lead callout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7880" cy="1458010"/>
                    </a:xfrm>
                    <a:prstGeom prst="rect">
                      <a:avLst/>
                    </a:prstGeom>
                    <a:gradFill rotWithShape="0">
                      <a:gsLst>
                        <a:gs pos="0">
                          <a:srgbClr val="FFFFFF"/>
                        </a:gs>
                        <a:gs pos="100000">
                          <a:srgbClr val="BDD6EE"/>
                        </a:gs>
                      </a:gsLst>
                      <a:lin ang="5400000" scaled="1"/>
                      <a:tileRect/>
                    </a:gradFill>
                    <a:ln w="12700">
                      <a:solidFill>
                        <a:srgbClr val="9CC2E5"/>
                      </a:solidFill>
                      <a:prstDash val="solid"/>
                      <a:miter/>
                    </a:ln>
                    <a:effectLst>
                      <a:outerShdw dist="107763" dir="2699999" algn="ctr" rotWithShape="0">
                        <a:srgbClr val="1F4D78">
                          <a:alpha val="5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after="0" w:line="240" w:lineRule="auto"/>
                          <w:jc w:val="both"/>
                        </w:pP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sz w:val="20"/>
                            <w:szCs w:val="20"/>
                            <w:highlight w:val="green"/>
                          </w:rPr>
                          <w:t xml:space="preserve">(FCD+19.9 months) 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On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C00000"/>
                            <w:sz w:val="20"/>
                            <w:szCs w:val="20"/>
                          </w:rPr>
                          <w:t>23 October 2026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, all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C55911"/>
                            <w:sz w:val="20"/>
                            <w:szCs w:val="20"/>
                          </w:rPr>
                          <w:t>three integral modules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 of the condenser in the conventional island of Lufeng Unit 1 were lowered into position, completing condenser installation. The complete assembly has a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C55911"/>
                            <w:sz w:val="20"/>
                            <w:szCs w:val="20"/>
                          </w:rPr>
                          <w:t>maximum weight of approximately 742 tonnes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. The modules were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  <w:t>assembled off site, transported as integral units and jacked into position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>, and their installation cleared the way for turbine generator installation and the hot functional test.</w:t>
                        </w:r>
                      </w:p>
                    </w:txbxContent>
                  </wps:txbx>
                  <wps:bodyPr upright="1" lIns="91440" rIns="91440" tIns="68580" bIns="91440">
                    <a:spAutoFit/>
                  </wps:bodyPr>
                </wps:wsp>
              </a:graphicData>
            </a:graphic>
          </wp:inline>
        </w:drawing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63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ef05a80cadce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等线" w:cs="Calibri"/>
          <w:i/>
          <w:color w:val="0070C0"/>
          <w:sz w:val="24"/>
        </w:rPr>
        <w:t>Three condenser modules in position in the conventional island at Lufeng Unit 1 (Image source: CGN).</w:t>
      </w:r>
    </w:p>
    <w:p>
      <w:pPr>
        <w:spacing w:after="120" w:line="240" w:lineRule="auto"/>
        <w:jc w:val="both"/>
      </w:pPr>
      <w:r>
        <w:rPr>
          <w:rFonts w:ascii="微软雅黑" w:hAnsi="微软雅黑" w:eastAsia="微软雅黑" w:cs="Calibri"/>
          <w:b w:val="0"/>
          <w:sz w:val="20"/>
        </w:rPr>
        <w:t xml:space="preserve">The condenser modules are large and carry high self-weight loads, with stringent construction parameters and technical standards. The lower module, combined with its water chamber, weighs </w:t>
      </w:r>
      <w:r>
        <w:rPr>
          <w:rFonts w:ascii="微软雅黑" w:hAnsi="微软雅黑" w:eastAsia="微软雅黑" w:cs="Calibri"/>
          <w:b/>
          <w:color w:val="C55911"/>
          <w:sz w:val="20"/>
        </w:rPr>
        <w:t>508 tonnes</w:t>
      </w:r>
      <w:r>
        <w:rPr>
          <w:rFonts w:ascii="微软雅黑" w:hAnsi="微软雅黑" w:eastAsia="微软雅黑" w:cs="Calibri"/>
          <w:b w:val="0"/>
          <w:sz w:val="20"/>
        </w:rPr>
        <w:t xml:space="preserve">, and the upper module weighs </w:t>
      </w:r>
      <w:r>
        <w:rPr>
          <w:rFonts w:ascii="微软雅黑" w:hAnsi="微软雅黑" w:eastAsia="微软雅黑" w:cs="Calibri"/>
          <w:b/>
          <w:color w:val="C55911"/>
          <w:sz w:val="20"/>
        </w:rPr>
        <w:t>123.6 tonnes</w:t>
      </w:r>
      <w:r>
        <w:rPr>
          <w:rFonts w:ascii="微软雅黑" w:hAnsi="微软雅黑" w:eastAsia="微软雅黑" w:cs="Calibri"/>
          <w:b w:val="0"/>
          <w:sz w:val="20"/>
        </w:rPr>
        <w:t xml:space="preserve">. </w:t>
      </w:r>
      <w:r>
        <w:rPr>
          <w:rFonts w:ascii="微软雅黑" w:hAnsi="微软雅黑" w:eastAsia="微软雅黑" w:cs="Calibri"/>
          <w:b/>
          <w:color w:val="0070C0"/>
          <w:sz w:val="20"/>
        </w:rPr>
        <w:t>Working space was limited between individual modules and between the modules and the building structures</w:t>
      </w:r>
      <w:r>
        <w:rPr>
          <w:rFonts w:ascii="微软雅黑" w:hAnsi="微软雅黑" w:eastAsia="微软雅黑" w:cs="Calibri"/>
          <w:b w:val="0"/>
          <w:sz w:val="20"/>
        </w:rPr>
        <w:t>, making lifting and transport complex and placing high demands on positioning accuracy.</w:t>
      </w:r>
    </w:p>
    <w:p>
      <w:pPr>
        <w:spacing w:after="120" w:line="240" w:lineRule="auto"/>
        <w:jc w:val="both"/>
      </w:pPr>
      <w:r>
        <w:rPr>
          <w:rFonts w:ascii="微软雅黑" w:hAnsi="微软雅黑" w:eastAsia="微软雅黑" w:cs="Calibri"/>
          <w:b w:val="0"/>
          <w:sz w:val="20"/>
        </w:rPr>
        <w:t xml:space="preserve">The lower tube bundle, throat, water chamber and low-pressure heater were </w:t>
      </w:r>
      <w:r>
        <w:rPr>
          <w:rFonts w:ascii="微软雅黑" w:hAnsi="微软雅黑" w:eastAsia="微软雅黑" w:cs="Calibri"/>
          <w:b/>
          <w:color w:val="0070C0"/>
          <w:sz w:val="20"/>
        </w:rPr>
        <w:t>integrated into a single assembly</w:t>
      </w:r>
      <w:r>
        <w:rPr>
          <w:rFonts w:ascii="微软雅黑" w:hAnsi="微软雅黑" w:eastAsia="微软雅黑" w:cs="Calibri"/>
          <w:b w:val="0"/>
          <w:sz w:val="20"/>
        </w:rPr>
        <w:t xml:space="preserve">, giving a </w:t>
      </w:r>
      <w:r>
        <w:rPr>
          <w:rFonts w:ascii="微软雅黑" w:hAnsi="微软雅黑" w:eastAsia="微软雅黑" w:cs="Calibri"/>
          <w:b/>
          <w:color w:val="C55911"/>
          <w:sz w:val="20"/>
        </w:rPr>
        <w:t>modularisation rate of 97%</w:t>
      </w:r>
      <w:r>
        <w:rPr>
          <w:rFonts w:ascii="微软雅黑" w:hAnsi="微软雅黑" w:eastAsia="微软雅黑" w:cs="Calibri"/>
          <w:b w:val="0"/>
          <w:sz w:val="20"/>
        </w:rPr>
        <w:t xml:space="preserve"> and simplifying on-site work. Compared with the traditional method of </w:t>
      </w:r>
      <w:r>
        <w:rPr>
          <w:rFonts w:ascii="微软雅黑" w:hAnsi="微软雅黑" w:eastAsia="微软雅黑" w:cs="Calibri"/>
          <w:b/>
          <w:color w:val="0070C0"/>
          <w:sz w:val="20"/>
        </w:rPr>
        <w:t>piece-by-piece lifting and on-site fit-up and welding</w:t>
      </w:r>
      <w:r>
        <w:rPr>
          <w:rFonts w:ascii="微软雅黑" w:hAnsi="微软雅黑" w:eastAsia="微软雅黑" w:cs="Calibri"/>
          <w:b w:val="0"/>
          <w:sz w:val="20"/>
        </w:rPr>
        <w:t xml:space="preserve">, which entailed </w:t>
      </w:r>
      <w:r>
        <w:rPr>
          <w:rFonts w:ascii="微软雅黑" w:hAnsi="微软雅黑" w:eastAsia="微软雅黑" w:cs="Calibri"/>
          <w:b/>
          <w:color w:val="0070C0"/>
          <w:sz w:val="20"/>
        </w:rPr>
        <w:t>heavy site welding, risks from concurrent operations and difficult positioning control</w:t>
      </w:r>
      <w:r>
        <w:rPr>
          <w:rFonts w:ascii="微软雅黑" w:hAnsi="微软雅黑" w:eastAsia="微软雅黑" w:cs="Calibri"/>
          <w:b w:val="0"/>
          <w:sz w:val="20"/>
        </w:rPr>
        <w:t xml:space="preserve">, the approach </w:t>
      </w:r>
      <w:r>
        <w:rPr>
          <w:rFonts w:ascii="微软雅黑" w:hAnsi="微软雅黑" w:eastAsia="微软雅黑" w:cs="Calibri"/>
          <w:b/>
          <w:color w:val="00B050"/>
          <w:sz w:val="20"/>
        </w:rPr>
        <w:t>shortened the critical-path duration by about two months</w:t>
      </w:r>
      <w:r>
        <w:rPr>
          <w:rFonts w:ascii="微软雅黑" w:hAnsi="微软雅黑" w:eastAsia="微软雅黑" w:cs="Calibri"/>
          <w:b w:val="0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docGrid w:linePitch="360"/>
      <w:pgBorders w:offsetFrom="page">
        <w:top w:val="single" w:sz="6" w:space="18" w:color="666666"/>
        <w:left w:val="single" w:sz="6" w:space="18" w:color="666666"/>
        <w:bottom w:val="single" w:sz="6" w:space="18" w:color="666666"/>
        <w:right w:val="single" w:sz="6" w:space="18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Theme="minorHAnsi" w:hAnsiTheme="minorHAnsi" w:cstheme="minorBidi"/>
        <w:sz w:val="22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Theme="minorHAnsi" w:hAnsiTheme="minorHAnsi" w:cstheme="minorBidi"/>
        <w:sz w:val="22"/>
      </w:rPr>
      <w:t>/</w:t>
    </w:r>
    <w:r>
      <w:rPr>
        <w:rFonts w:asciiTheme="minorHAnsi" w:hAnsiTheme="minorHAnsi" w:cstheme="minorBidi"/>
        <w:sz w:val="22"/>
      </w:rPr>
      <w:fldChar w:fldCharType="begin"/>
      <w:instrText xml:space="preserve">NUMPAGES</w:instrText>
      <w:fldChar w:fldCharType="separate"/>
      <w:t>1</w:t>
      <w:fldChar w:fldCharType="end"/>
    </w:r>
  </w:p>
  <w:p>
    <w:pPr>
      <w:spacing w:before="0" w:after="0"/>
    </w:pPr>
    <w:r>
      <w:rPr>
        <w:rFonts w:asciiTheme="minorHAnsi" w:hAnsiTheme="minorHAnsi" w:cstheme="minorBidi"/>
        <w:i/>
        <w:color w:val="4472C4"/>
        <w:sz w:val="20"/>
      </w:rPr>
      <w:t>MN -Oct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line="264" w:lineRule="auto"/>
    </w:pPr>
    <w:r>
      <w:rPr>
        <w:rFonts w:asciiTheme="minorHAnsi" w:hAnsiTheme="minorHAnsi" w:cstheme="minorBidi"/>
        <w:i/>
        <w:color w:val="7B7B7B"/>
        <w:sz w:val="18"/>
      </w:rPr>
      <w:t>Nuclear Build Log | Engineering editorial example</w:t>
    </w:r>
    <w:r>
      <w:rPr>
        <w:rFonts w:asciiTheme="minorHAnsi" w:hAnsiTheme="minorHAnsi" w:cstheme="minorBidi"/>
        <w:i/>
        <w:color w:val="7B7B7B"/>
        <w:sz w:val="18"/>
      </w:rPr>
      <w:tab/>
      <w:t>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Theme="minorHAnsi" w:hAnsiTheme="minorHAnsi" w:eastAsiaTheme="minorEastAsia" w:cstheme="minorBid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wer.in-en.com/html/power-2480157.shtml" TargetMode="External"/><Relationship Id="rId1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Lufeng Unit 1 condenser installation engineering editorial example</dc:title>
  <dc:subject>Actual application export based on the linked public news article</dc:subject>
  <dc:creator>Nuclear Build Log</dc:creator>
  <cp:keywords/>
  <dc:description>Public example; header attribution adapted. Engineering content is unchanged.</dc:description>
  <cp:lastModifiedBy>Nuclear Build Log</cp:lastModifiedBy>
  <cp:revision>1</cp:revision>
  <dcterms:created xsi:type="dcterms:W3CDTF">2013-12-23T23:15:00Z</dcterms:created>
  <dcterms:modified xsi:type="dcterms:W3CDTF">2013-12-23T23:15:00Z</dcterms:modified>
  <cp:category/>
</cp:coreProperties>
</file>