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auto"/>
        <w:jc w:val="left"/>
      </w:pPr>
      <w:r>
        <w:rPr>
          <w:rFonts w:ascii="仿宋_GB2312" w:hAnsi="仿宋_GB2312" w:eastAsia="仿宋_GB2312"/>
          <w:sz w:val="21"/>
        </w:rPr>
        <w:t>案例名称：高职专科-石家庄邮电职业技术学院-AI赋能、产教融合——财税知识库协同育人实践（版本V1.1）</w:t>
      </w:r>
    </w:p>
    <w:p>
      <w:pPr>
        <w:spacing w:line="560" w:lineRule="auto"/>
        <w:jc w:val="left"/>
      </w:pPr>
      <w:r>
        <w:rPr>
          <w:rFonts w:ascii="仿宋_GB2312" w:hAnsi="仿宋_GB2312" w:eastAsia="仿宋_GB2312"/>
          <w:sz w:val="21"/>
        </w:rPr>
        <w:t>申报层面：□院校层面　　□企业层面（院校层面）</w:t>
      </w:r>
    </w:p>
    <w:p>
      <w:pPr>
        <w:spacing w:line="560" w:lineRule="auto"/>
        <w:jc w:val="left"/>
      </w:pPr>
      <w:r>
        <w:rPr>
          <w:rFonts w:ascii="仿宋_GB2312" w:hAnsi="仿宋_GB2312" w:eastAsia="仿宋_GB2312"/>
          <w:sz w:val="21"/>
        </w:rPr>
        <w:t>主题类别：数智化财经人才培养模式改革案例（对应通知第二条第（二）款第2项）</w:t>
      </w:r>
    </w:p>
    <w:p>
      <w:pPr>
        <w:spacing w:line="560" w:lineRule="auto"/>
        <w:jc w:val="left"/>
      </w:pPr>
      <w:r>
        <w:rPr>
          <w:rFonts w:ascii="仿宋_GB2312" w:hAnsi="仿宋_GB2312" w:eastAsia="仿宋_GB2312"/>
          <w:sz w:val="21"/>
        </w:rPr>
        <w:t>申报单位：石家庄邮电职业技术学院</w:t>
      </w:r>
    </w:p>
    <w:p>
      <w:pPr>
        <w:spacing w:line="560" w:lineRule="auto"/>
        <w:jc w:val="left"/>
      </w:pPr>
      <w:r>
        <w:rPr>
          <w:rFonts w:ascii="仿宋_GB2312" w:hAnsi="仿宋_GB2312" w:eastAsia="仿宋_GB2312"/>
          <w:sz w:val="21"/>
        </w:rPr>
        <w:t>联合申报单位：河北企富财税管理有限公司</w:t>
      </w:r>
    </w:p>
    <w:p>
      <w:pPr>
        <w:spacing w:line="560" w:lineRule="auto"/>
        <w:jc w:val="left"/>
      </w:pPr>
      <w:r>
        <w:rPr>
          <w:rFonts w:ascii="仿宋_GB2312" w:hAnsi="仿宋_GB2312" w:eastAsia="仿宋_GB2312"/>
          <w:sz w:val="21"/>
        </w:rPr>
        <w:t>主要完成人：薛辉、教师团队、财管2401班学生小组</w:t>
      </w:r>
    </w:p>
    <w:p>
      <w:pPr>
        <w:spacing w:line="560" w:lineRule="auto"/>
        <w:jc w:val="left"/>
      </w:pPr>
      <w:r>
        <w:rPr>
          <w:rFonts w:ascii="仿宋_GB2312" w:hAnsi="仿宋_GB2312" w:eastAsia="仿宋_GB2312"/>
          <w:sz w:val="21"/>
        </w:rPr>
        <w:t>联系人：陈立（共同体秘书处）</w:t>
      </w:r>
    </w:p>
    <w:p>
      <w:pPr>
        <w:spacing w:line="560" w:lineRule="auto"/>
        <w:jc w:val="left"/>
      </w:pPr>
      <w:r>
        <w:rPr>
          <w:rFonts w:ascii="仿宋_GB2312" w:hAnsi="仿宋_GB2312" w:eastAsia="仿宋_GB2312"/>
          <w:sz w:val="21"/>
        </w:rPr>
        <w:t>联系电话：0335-5926568</w:t>
      </w:r>
    </w:p>
    <w:p/>
    <w:p>
      <w:pPr>
        <w:jc w:val="center"/>
      </w:pPr>
      <w:r>
        <w:rPr>
          <w:rFonts w:ascii="黑体" w:hAnsi="黑体" w:eastAsia="黑体"/>
          <w:sz w:val="32"/>
        </w:rPr>
        <w:t>河北省财经行业产教融合共同体典型案例</w:t>
      </w:r>
    </w:p>
    <w:p>
      <w:pPr>
        <w:jc w:val="center"/>
      </w:pPr>
      <w:r>
        <w:rPr>
          <w:rFonts w:ascii="黑体" w:hAnsi="黑体" w:eastAsia="黑体"/>
          <w:sz w:val="32"/>
        </w:rPr>
        <w:t>——AI赋能、产教融合：财税知识库协同育人实践（石家庄邮电职业技术学院）</w:t>
      </w:r>
    </w:p>
    <w:p/>
    <w:p>
      <w:pPr>
        <w:spacing w:line="560" w:lineRule="auto"/>
        <w:jc w:val="left"/>
      </w:pPr>
      <w:r>
        <w:rPr>
          <w:rFonts w:ascii="仿宋_GB2312" w:hAnsi="仿宋_GB2312" w:eastAsia="仿宋_GB2312"/>
          <w:sz w:val="21"/>
        </w:rPr>
        <w:t>摘要：为贯彻《关于深化现代职业教育体系建设改革的意见》，破解数智化背景下财经类职业教育教学案例陈旧、学生真题真做不足、企业真实问题无人承接、教师实务能力更新滞后等突出问题，石家庄邮电职业技术学院会计学院以教师暑期赴河北企富财税管理有限公司实践为切入点，依托ima共享知识库平台为企业从零归集财税法规文档651篇，构建“二级标签+层级+格式”三维分类体系并完成AI检索配置与两轮系统测试；同步将知识库后续完善任务转化为财务管理专业毕业设计新增课题，组织学生与企业对接、按企业需求完善知识库，形成“教师下企业—带回真课题—学生对接企业做真题—成果回企业”的产教融合闭环。实践期间输出合规分析6组、AI检索方法论1套、共20题测试报告，成果直接反哺《税费计算与申报》《社会保险》等4门核心课程，为校企协同培养财经类技术技能人才与服务中小微企业财税合规提供了可复制样本。</w:t>
      </w:r>
    </w:p>
    <w:p>
      <w:pPr>
        <w:spacing w:line="560" w:lineRule="auto"/>
        <w:jc w:val="left"/>
      </w:pPr>
      <w:r>
        <w:rPr>
          <w:rFonts w:ascii="仿宋_GB2312" w:hAnsi="仿宋_GB2312" w:eastAsia="仿宋_GB2312"/>
          <w:sz w:val="21"/>
        </w:rPr>
        <w:t>关键词：AI财税知识库；产教融合；协同育人；真题真做</w:t>
      </w:r>
    </w:p>
    <w:p/>
    <w:p>
      <w:r>
        <w:rPr>
          <w:rFonts w:ascii="黑体" w:hAnsi="黑体" w:eastAsia="黑体"/>
          <w:sz w:val="21"/>
        </w:rPr>
        <w:t>一、案例背景</w:t>
      </w:r>
    </w:p>
    <w:p>
      <w:pPr>
        <w:spacing w:line="560" w:lineRule="auto"/>
        <w:ind w:firstLine="80"/>
        <w:jc w:val="left"/>
      </w:pPr>
      <w:r>
        <w:rPr>
          <w:rFonts w:ascii="仿宋_GB2312" w:hAnsi="仿宋_GB2312" w:eastAsia="仿宋_GB2312"/>
          <w:sz w:val="21"/>
        </w:rPr>
        <w:t>石家庄邮电职业技术学院会计学院面向区域财税服务业培养技术技能人才。近年来大数据、人工智能加速重构财税行业，学院人才培养面临教材滞后于政策迭代等脱节：如《涉税专业服务管理办法（试行）》（国家税务总局令第58号，2025年5月1日施行）、《河北省政府采购评审专家管理实施办法》（冀财采〔2025〕12号，2025年9月1日施行、有效期5年）等新规已落地，但教材未能及时跟进，实训案例多为虚构脱敏，教师实务能力更新渠道有限。</w:t>
      </w:r>
    </w:p>
    <w:p>
      <w:pPr>
        <w:spacing w:line="560" w:lineRule="auto"/>
        <w:ind w:firstLine="80"/>
        <w:jc w:val="left"/>
      </w:pPr>
      <w:r>
        <w:rPr>
          <w:rFonts w:ascii="仿宋_GB2312" w:hAnsi="仿宋_GB2312" w:eastAsia="仿宋_GB2312"/>
          <w:sz w:val="21"/>
        </w:rPr>
        <w:t>合作企业河北企富财税管理有限公司位于石家庄，主营代理记账、涉税服务、企业管家三条业务线，服务中小微企业、农村集体经济组织、公立医院及行政事业单位，日常高频咨询涉及小规模纳税人免税、“六税两费”减免、医保待遇测算、政府采购合规等事项，客户要求答复“快、准、可追溯”。2025年58号令将这一要求从“服务加分项”升格为“合规硬义务”：办法明确要求机构建立质量管理制度、风险控制机制并形成工作底稿，TSC信用分级将执业质量直接挂钩，一线人员若凭记忆误引已废止条款，轻则答复失准，重则触发合规追责。然而企业内部知识管理与这一合规要求形成尖锐落差：历年文件散落在员工个人电脑和微信群中，同一文件常有PDF版、Word版、注释版等多副本混杂；仅石家庄市职工医保办法就有2017、2019、2024三版并存，起付线、支付比例差异显著，一旦误用废止版本，待遇测算结论就会走偏；省市文件还存在“市级多处指向省级规定、必须配套引用”的层级交叉问题。一线人员靠翻文件夹、微信搜索应对，一份政策查找耗时15—30分钟且难保所引为现行版本。企业并非没有意识，但代理记账行业人少事杂，既抽不出专人归集、分类、标注，也缺乏将AI检索工具落地为作业流程的方法论，形成“知道该做、却没人做、也不会做”的困境。</w:t>
      </w:r>
    </w:p>
    <w:p>
      <w:pPr>
        <w:spacing w:line="560" w:lineRule="auto"/>
        <w:ind w:firstLine="80"/>
        <w:jc w:val="left"/>
      </w:pPr>
      <w:r>
        <w:rPr>
          <w:rFonts w:ascii="仿宋_GB2312" w:hAnsi="仿宋_GB2312" w:eastAsia="仿宋_GB2312"/>
          <w:sz w:val="21"/>
        </w:rPr>
        <w:t>基于此，学院依托共同体平台于2026年7月15日至8月25日选派教师赴企富财税开展42天暑期实践，以搭建AI财税知识库为切入点，着力打通“企业真问题—教师真参与—学生真实践—成果真交付”的协同育人链条。</w:t>
      </w:r>
    </w:p>
    <w:p/>
    <w:p>
      <w:r>
        <w:rPr>
          <w:rFonts w:ascii="黑体" w:hAnsi="黑体" w:eastAsia="黑体"/>
          <w:sz w:val="21"/>
        </w:rPr>
        <w:t>二、主要做法</w:t>
      </w:r>
    </w:p>
    <w:p>
      <w:r>
        <w:rPr>
          <w:rFonts w:ascii="楷体_GB2312" w:hAnsi="楷体_GB2312" w:eastAsia="楷体_GB2312"/>
          <w:sz w:val="21"/>
        </w:rPr>
        <w:t>（一）深入企业调研，从零搭建AI财税知识库（解决58号令合规硬义务）</w:t>
      </w:r>
    </w:p>
    <w:p>
      <w:pPr>
        <w:spacing w:line="560" w:lineRule="auto"/>
        <w:ind w:firstLine="80"/>
        <w:jc w:val="left"/>
      </w:pPr>
      <w:r>
        <w:rPr>
          <w:rFonts w:ascii="仿宋_GB2312" w:hAnsi="仿宋_GB2312" w:eastAsia="仿宋_GB2312"/>
          <w:sz w:val="21"/>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spacing w:line="560" w:lineRule="auto"/>
        <w:jc w:val="center"/>
      </w:pPr>
      <w:r>
        <w:rPr>
          <w:rFonts w:ascii="仿宋_GB2312" w:hAnsi="仿宋_GB2312" w:eastAsia="仿宋_GB2312"/>
          <w:sz w:val="21"/>
        </w:rPr>
        <w:t>图1  教师赴河北企富财税管理有限公司与企业团队座谈调研（2026年7月）</w:t>
      </w:r>
    </w:p>
    <w:p>
      <w:pPr>
        <w:spacing w:line="560" w:lineRule="auto"/>
        <w:jc w:val="center"/>
      </w:pPr>
      <w:r>
        <w:rPr>
          <w:rFonts w:ascii="仿宋_GB2312" w:hAnsi="仿宋_GB2312" w:eastAsia="仿宋_GB2312"/>
          <w:sz w:val="21"/>
        </w:rPr>
        <w:t>图2  座谈调研现场：企业部门骨干介绍业务流程与政策使用场景</w:t>
      </w:r>
    </w:p>
    <w:p>
      <w:pPr>
        <w:spacing w:line="560" w:lineRule="auto"/>
        <w:ind w:firstLine="80"/>
        <w:jc w:val="left"/>
      </w:pPr>
      <w:r>
        <w:rPr>
          <w:rFonts w:ascii="仿宋_GB2312" w:hAnsi="仿宋_GB2312" w:eastAsia="仿宋_GB2312"/>
          <w:sz w:val="21"/>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spacing w:line="560" w:lineRule="auto"/>
        <w:jc w:val="center"/>
      </w:pPr>
      <w:r>
        <w:rPr>
          <w:rFonts w:ascii="仿宋_GB2312" w:hAnsi="仿宋_GB2312" w:eastAsia="仿宋_GB2312"/>
          <w:sz w:val="21"/>
        </w:rPr>
        <w:t>图3  “0730资料库”AI检索界面实测：库外问题（天津市医保报销比例）准确识别、不作编造</w:t>
      </w:r>
    </w:p>
    <w:p>
      <w:pPr>
        <w:spacing w:line="560" w:lineRule="auto"/>
        <w:ind w:firstLine="80"/>
        <w:jc w:val="left"/>
      </w:pPr>
      <w:r>
        <w:rPr>
          <w:rFonts w:ascii="仿宋_GB2312" w:hAnsi="仿宋_GB2312" w:eastAsia="仿宋_GB2312"/>
          <w:sz w:val="21"/>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r>
        <w:rPr>
          <w:rFonts w:ascii="楷体_GB2312" w:hAnsi="楷体_GB2312" w:eastAsia="楷体_GB2312"/>
          <w:sz w:val="21"/>
        </w:rPr>
        <w:t>（二）输出合规成果，系统测试摸清AI能力边界</w:t>
      </w:r>
    </w:p>
    <w:p>
      <w:pPr>
        <w:spacing w:line="560" w:lineRule="auto"/>
        <w:ind w:firstLine="80"/>
        <w:jc w:val="left"/>
      </w:pPr>
      <w:r>
        <w:rPr>
          <w:rFonts w:ascii="仿宋_GB2312" w:hAnsi="仿宋_GB2312" w:eastAsia="仿宋_GB2312"/>
          <w:sz w:val="21"/>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auto"/>
        <w:ind w:firstLine="80"/>
        <w:jc w:val="left"/>
      </w:pPr>
      <w:r>
        <w:rPr>
          <w:rFonts w:ascii="仿宋_GB2312" w:hAnsi="仿宋_GB2312" w:eastAsia="仿宋_GB2312"/>
          <w:sz w:val="21"/>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spacing w:line="560" w:lineRule="auto"/>
        <w:jc w:val="center"/>
      </w:pPr>
      <w:r>
        <w:rPr>
          <w:rFonts w:ascii="仿宋_GB2312" w:hAnsi="仿宋_GB2312" w:eastAsia="仿宋_GB2312"/>
          <w:sz w:val="21"/>
        </w:rPr>
        <w:t>图4  知识库单点细节检索测试：精准引用《党政机关国内公务接待管理规定》给出结构化答复</w:t>
      </w:r>
    </w:p>
    <w:p>
      <w:r>
        <w:rPr>
          <w:rFonts w:ascii="楷体_GB2312" w:hAnsi="楷体_GB2312" w:eastAsia="楷体_GB2312"/>
          <w:sz w:val="21"/>
        </w:rPr>
        <w:t>（三）以毕设真题打通产教闭环，学生对接企业完善知识库</w:t>
      </w:r>
    </w:p>
    <w:p>
      <w:pPr>
        <w:spacing w:line="560" w:lineRule="auto"/>
        <w:ind w:firstLine="80"/>
        <w:jc w:val="left"/>
      </w:pPr>
      <w:r>
        <w:rPr>
          <w:rFonts w:ascii="仿宋_GB2312" w:hAnsi="仿宋_GB2312" w:eastAsia="仿宋_GB2312"/>
          <w:sz w:val="21"/>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auto"/>
        <w:ind w:firstLine="80"/>
        <w:jc w:val="left"/>
      </w:pPr>
      <w:r>
        <w:rPr>
          <w:rFonts w:ascii="仿宋_GB2312" w:hAnsi="仿宋_GB2312" w:eastAsia="仿宋_GB2312"/>
          <w:sz w:val="21"/>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spacing w:line="560" w:lineRule="auto"/>
        <w:jc w:val="center"/>
      </w:pPr>
      <w:r>
        <w:rPr>
          <w:rFonts w:ascii="仿宋_GB2312" w:hAnsi="仿宋_GB2312" w:eastAsia="仿宋_GB2312"/>
          <w:sz w:val="21"/>
        </w:rPr>
        <w:t>图5  教师指导毕设小组对接企业需求、开展财税法规知识库标签体系构建（2026年10月）</w:t>
      </w:r>
    </w:p>
    <w:p>
      <w:pPr>
        <w:spacing w:line="560" w:lineRule="auto"/>
        <w:ind w:firstLine="80"/>
        <w:jc w:val="left"/>
      </w:pPr>
      <w:r>
        <w:rPr>
          <w:rFonts w:ascii="仿宋_GB2312" w:hAnsi="仿宋_GB2312" w:eastAsia="仿宋_GB2312"/>
          <w:sz w:val="21"/>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
      <w:r>
        <w:rPr>
          <w:rFonts w:ascii="黑体" w:hAnsi="黑体" w:eastAsia="黑体"/>
          <w:sz w:val="21"/>
        </w:rPr>
        <w:t>三、实施成效</w:t>
      </w:r>
    </w:p>
    <w:p>
      <w:pPr>
        <w:spacing w:line="560" w:lineRule="auto"/>
        <w:ind w:firstLine="80"/>
        <w:jc w:val="left"/>
      </w:pPr>
      <w:r>
        <w:rPr>
          <w:rFonts w:ascii="仿宋_GB2312" w:hAnsi="仿宋_GB2312" w:eastAsia="仿宋_GB2312"/>
          <w:sz w:val="21"/>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auto"/>
        <w:ind w:firstLine="80"/>
        <w:jc w:val="left"/>
      </w:pPr>
      <w:r>
        <w:rPr>
          <w:rFonts w:ascii="仿宋_GB2312" w:hAnsi="仿宋_GB2312" w:eastAsia="仿宋_GB2312"/>
          <w:sz w:val="21"/>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auto"/>
        <w:ind w:firstLine="80"/>
        <w:jc w:val="left"/>
      </w:pPr>
      <w:r>
        <w:rPr>
          <w:rFonts w:ascii="仿宋_GB2312" w:hAnsi="仿宋_GB2312" w:eastAsia="仿宋_GB2312"/>
          <w:sz w:val="21"/>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
      <w:r>
        <w:rPr>
          <w:rFonts w:ascii="黑体" w:hAnsi="黑体" w:eastAsia="黑体"/>
          <w:sz w:val="21"/>
        </w:rPr>
        <w:t>经验启示</w:t>
      </w:r>
    </w:p>
    <w:p>
      <w:pPr>
        <w:spacing w:line="560" w:lineRule="auto"/>
        <w:ind w:firstLine="80"/>
        <w:jc w:val="left"/>
      </w:pPr>
      <w:r>
        <w:rPr>
          <w:rFonts w:ascii="仿宋_GB2312" w:hAnsi="仿宋_GB2312" w:eastAsia="仿宋_GB2312"/>
          <w:sz w:val="21"/>
        </w:rPr>
        <w:t>本案例证明：产教融合必须直面行业“58号令”等硬性合规冲击，通过“教师下企业—带回真课题—学生对接企业做真题—成果回企业”的闭环，才能解决企业“没人干、不会做”的难题。数智化工具（AI知识库）与人才培养（毕设真题）的深度绑定，是破解财经类职业教育脱节的关键路径，具有向共同体成员单位推广的参考价值。</w:t>
      </w:r>
    </w:p>
    <w:p/>
    <w:p>
      <w:r>
        <w:rPr>
          <w:rFonts w:ascii="黑体" w:hAnsi="黑体" w:eastAsia="黑体"/>
          <w:sz w:val="21"/>
        </w:rPr>
        <w:t>四、问题与展望</w:t>
      </w:r>
    </w:p>
    <w:p>
      <w:pPr>
        <w:spacing w:line="560" w:lineRule="auto"/>
        <w:ind w:firstLine="80"/>
        <w:jc w:val="left"/>
      </w:pPr>
      <w:r>
        <w:rPr>
          <w:rFonts w:ascii="仿宋_GB2312" w:hAnsi="仿宋_GB2312" w:eastAsia="仿宋_GB2312"/>
          <w:sz w:val="21"/>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spacing w:line="560" w:lineRule="auto"/>
        <w:jc w:val="center"/>
      </w:pPr>
      <w:r>
        <w:rPr>
          <w:rFonts w:ascii="仿宋_GB2312" w:hAnsi="仿宋_GB2312" w:eastAsia="仿宋_GB2312"/>
          <w:sz w:val="21"/>
        </w:rPr>
        <w:t>河北省财经行业产教融合共同体</w:t>
      </w:r>
    </w:p>
    <w:p>
      <w:pPr>
        <w:spacing w:line="560" w:lineRule="auto"/>
        <w:jc w:val="center"/>
      </w:pPr>
      <w:r>
        <w:rPr>
          <w:rFonts w:ascii="仿宋_GB2312" w:hAnsi="仿宋_GB2312" w:eastAsia="仿宋_GB2312"/>
          <w:sz w:val="21"/>
        </w:rPr>
        <w:t>2026年10月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