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20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会计学院开设大数据与会计、大数据与财务管理等专业，面向区域财税服务业培养技术技能人才。近年政策密集迭代，教材更新滞后、实训多为虚构、教师实务更新偏慢，人才培养与企业一线形成时差；而合作企业河北企富财税管理有限公司承受的冲击更急、更硬。</w:t>
      </w:r>
    </w:p>
    <w:p>
      <w:pPr>
        <w:spacing w:line="560" w:lineRule="exact"/>
        <w:ind w:firstLine="640"/>
        <w:jc w:val="both"/>
      </w:pPr>
      <w:r>
        <w:rPr>
          <w:rFonts w:ascii="Times New Roman" w:hAnsi="Times New Roman" w:eastAsia="仿宋_GB2312"/>
          <w:b w:val="0"/>
          <w:sz w:val="32"/>
        </w:rPr>
        <w:t xml:space="preserve">2025年5月1日，《涉税专业服务管理办法（试行）》（国家税务总局令第58号）施行，把“答复快、准、可追溯”由服务加分项变成合规硬义务：机构须建立质量管理制度、风控机制并留存工作底稿，答复须能追到现行有效的政策原文。对企富这类中小代理记账机构，挤压来自三面：责任压到机构与签字人，靠老师傅记忆口头答复不再合规；业务面又宽，三条业务线服务中小微企业、农村集体经济组织、公立医院及行政事业单位，高频事项横跨小规模纳税人免税、“六税两费”减免、医保测算、政府采购；容错空间收窄，仅石家庄市职工医保办法就有2017、2019、2024三版并存，省市文件层级交叉，误引废止条款即构成执业风险。</w:t>
      </w:r>
    </w:p>
    <w:p>
      <w:pPr>
        <w:spacing w:line="560" w:lineRule="exact"/>
        <w:ind w:firstLine="640"/>
        <w:jc w:val="both"/>
      </w:pPr>
      <w:r>
        <w:rPr>
          <w:rFonts w:ascii="Times New Roman" w:hAnsi="Times New Roman" w:eastAsia="仿宋_GB2312"/>
          <w:b w:val="0"/>
          <w:sz w:val="32"/>
        </w:rPr>
        <w:t xml:space="preserve">压力落到作业面上，是“知道该做、没人做、也不会做”：历年文件散落在个人电脑与微信群，一份政策查找要15—30分钟且难保是现行版本；中小机构人少事杂，请不起专职知识管理岗，也缺把AI检索落成流程的方法——这不是企富一家的难题，而是同类机构的共性。这正是职业教育可以介入的空间。2026年7月15日至8月25日，学院依托共同体选派教师驻企实践42天，与企富共建AI财税知识库，把企业难题变成教师课题、再变成学生毕设真题，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20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四是摸清AI的能力边界，同样是教学成果。两轮20题测试把“召回截断、无分页、必须手工打标”的硬限制摆上台面，避免把AI当万能；这些限制反过来成为二期任务与课堂讨论素材。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