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19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是由中国邮政集团与河北省政府共建的公办高职，会计学院开设大数据与会计、大数据与财务管理等专业，培养的正是中小财税服务机构需要的人。这些机构正被数智化重构：政策逐年出台，同一事项多版本并存，客户要的答复既要快、准，还要能追到原文；代理记账、涉税服务、审计鉴证、企业管家做法各异，却共用一套政策口径，一处引用错，会同时传导到记账、申报与审计底稿。</w:t>
      </w:r>
    </w:p>
    <w:p>
      <w:pPr>
        <w:spacing w:line="560" w:lineRule="exact"/>
        <w:ind w:firstLine="640"/>
        <w:jc w:val="both"/>
      </w:pPr>
      <w:r>
        <w:rPr>
          <w:rFonts w:ascii="Times New Roman" w:hAnsi="Times New Roman" w:eastAsia="仿宋_GB2312"/>
          <w:b w:val="0"/>
          <w:sz w:val="32"/>
        </w:rPr>
        <w:t xml:space="preserve">合作企业河北企富财税管理有限公司正是这类机构的典型：它同时具备会计师事务所、税务师事务所资质，代理记账、涉税服务、企业管家三条业务线与审计部并行。2025年5月1日，《涉税专业服务管理办法（试行）》（国家税务总局令第58号）施行，把“答复快、准、可追溯”从加分项变成合规硬义务：须建质量管理制度、风控机制并留存底稿，审计鉴证还要求证据链完整、底稿可复核。冲击落到作业面，就是“知道该做、没人做、不会做”：文件散在个人电脑与微信群，一次查找要15—30分钟且难保版本现行；机构人少事杂，请不起专职知识管理岗，也缺把AI检索落成统一口径的方法。</w:t>
      </w:r>
    </w:p>
    <w:p>
      <w:pPr>
        <w:spacing w:line="560" w:lineRule="exact"/>
        <w:ind w:firstLine="640"/>
        <w:jc w:val="both"/>
      </w:pPr>
      <w:r>
        <w:rPr>
          <w:rFonts w:ascii="Times New Roman" w:hAnsi="Times New Roman" w:eastAsia="仿宋_GB2312"/>
          <w:b w:val="0"/>
          <w:sz w:val="32"/>
        </w:rPr>
        <w:t xml:space="preserve">学校这端是同一件事的另一面：教材更新滞后、实训多为虚构、教师实务更新慢，与企业一线形成时差。2026年7月15日至8月25日，学院依托共同体选派教师驻企实践，与企富共建AI财税知识库：企业缺人归集，教师带着学生按文档形态清库；缺标注口径，校企共同定出“二级标签+层级+格式”规范；缺检索方法，沉淀出“业务领域+层级+文档形态”三要素问法。企业难题由此变成教师课题、再变成毕设真题，经企业验收，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分类与标注体系见表1。</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同步诊断出检索接口三项硬限制——单次最多返回约45条、无分页参数、文档量大必须手工打标——知识库虽已成型，但“未打标、检索粗、命中差”的问题仍然存在，必须依靠持续的人工精修才能真正投入使用。</w:t>
      </w:r>
    </w:p>
    <w:p>
      <w:pPr>
        <w:spacing w:line="360" w:lineRule="auto"/>
        <w:jc w:val="center"/>
      </w:pPr>
      <w:r>
        <w:rPr>
          <w:rFonts w:ascii="Times New Roman" w:hAnsi="Times New Roman" w:eastAsia="仿宋_GB2312"/>
          <w:b w:val="0"/>
          <w:sz w:val="21"/>
          <w:szCs w:val="21"/>
        </w:rPr>
        <w:t xml:space="preserve">表1  “0730资料库”分类与标注体系</w:t>
      </w:r>
    </w:p>
    <w:tbl>
      <w:tblPr>
        <w:tblW w:w="8300" w:type="dxa"/>
        <w:jc w:val="center"/>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40" w:type="dxa"/>
          <w:left w:w="90" w:type="dxa"/>
          <w:bottom w:w="40" w:type="dxa"/>
          <w:right w:w="90" w:type="dxa"/>
        </w:tblCellMar>
      </w:tblPr>
      <w:tblGrid>
        <w:gridCol w:w="1250"/>
        <w:gridCol w:w="7050"/>
      </w:tblGrid>
      <w:tr>
        <w:trPr>
          <w:cantSplit/>
          <w:tblHeader/>
        </w:trPr>
        <w:tc>
          <w:tcPr>
            <w:tcW w:w="12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维度</w:t>
            </w:r>
          </w:p>
        </w:tc>
        <w:tc>
          <w:tcPr>
            <w:tcW w:w="70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内容</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文档总量</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651 篇：PDF 232 篇（政策原文）、Word 397 篇（制度与配套细则）、Excel 22 篇（目录与台账）</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一级领域</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12 个：医保、财税、会计、审计、国资、农村集体、行政事业、招投标基建、社保、医疗卫生、党建纪检、其他行业</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二级标签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80 余个；医保板块细分至待遇保障、筹资缴费、支付结算、药品目录、特殊病种、诊疗项目与价格、定点管理、基金监管</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层级标签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国家政策／河北省／石家庄市</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格式标签</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PDF（政策原文）／Word（制度细则）／Excel（目录台账）</w:t>
            </w:r>
          </w:p>
        </w:tc>
      </w:tr>
      <w:tr>
        <w:trPr>
          <w:cantSplit/>
        </w:trPr>
        <w:tc>
          <w:tcPr>
            <w:tcW w:w="1250" w:type="dxa"/>
            <w:vAlign w:val="center"/>
          </w:tcPr>
          <w:p>
            <w:pPr>
              <w:spacing w:line="240" w:lineRule="auto" w:before="20" w:after="20"/>
              <w:jc w:val="left"/>
            </w:pPr>
            <w:r>
              <w:rPr>
                <w:rFonts w:ascii="Times New Roman" w:hAnsi="Times New Roman" w:eastAsia="仿宋_GB2312"/>
                <w:b w:val="0"/>
                <w:sz w:val="21"/>
                <w:szCs w:val="21"/>
              </w:rPr>
              <w:t xml:space="preserve">业务板块</w:t>
            </w:r>
          </w:p>
        </w:tc>
        <w:tc>
          <w:tcPr>
            <w:tcW w:w="7050" w:type="dxa"/>
            <w:vAlign w:val="center"/>
          </w:tcPr>
          <w:p>
            <w:pPr>
              <w:spacing w:line="240" w:lineRule="auto" w:before="20" w:after="20"/>
              <w:jc w:val="left"/>
            </w:pPr>
            <w:r>
              <w:rPr>
                <w:rFonts w:ascii="Times New Roman" w:hAnsi="Times New Roman" w:eastAsia="仿宋_GB2312"/>
                <w:b w:val="0"/>
                <w:sz w:val="21"/>
                <w:szCs w:val="21"/>
              </w:rPr>
              <w:t xml:space="preserve">医疗保障、涉税专业服务、政府采购、会计审计、预算绩效、农村集体财务、党建纪检</w:t>
            </w:r>
          </w:p>
        </w:tc>
      </w:tr>
    </w:tbl>
    <w:p>
      <w:pPr>
        <w:spacing w:line="240" w:lineRule="auto"/>
      </w:pP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医疗收费、长期挂账、资产转固、支出归集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14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两轮测试结果见表2。</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知识库单点细节检索测试：精准引用政策原文给出结构化答复</w:t>
      </w:r>
    </w:p>
    <w:p>
      <w:pPr>
        <w:spacing w:line="360" w:lineRule="auto"/>
        <w:jc w:val="center"/>
      </w:pPr>
      <w:r>
        <w:rPr>
          <w:rFonts w:ascii="Times New Roman" w:hAnsi="Times New Roman" w:eastAsia="仿宋_GB2312"/>
          <w:b w:val="0"/>
          <w:sz w:val="21"/>
          <w:szCs w:val="21"/>
        </w:rPr>
        <w:t xml:space="preserve">表2  两轮AI检索测试的维度与改进方向</w:t>
      </w:r>
    </w:p>
    <w:tbl>
      <w:tblPr>
        <w:tblW w:w="8300" w:type="dxa"/>
        <w:jc w:val="center"/>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top w:w="40" w:type="dxa"/>
          <w:left w:w="90" w:type="dxa"/>
          <w:bottom w:w="40" w:type="dxa"/>
          <w:right w:w="90" w:type="dxa"/>
        </w:tblCellMar>
      </w:tblPr>
      <w:tblGrid>
        <w:gridCol w:w="700"/>
        <w:gridCol w:w="1150"/>
        <w:gridCol w:w="600"/>
        <w:gridCol w:w="2450"/>
        <w:gridCol w:w="2150"/>
        <w:gridCol w:w="1250"/>
      </w:tblGrid>
      <w:tr>
        <w:trPr>
          <w:cantSplit/>
          <w:tblHeader/>
        </w:trPr>
        <w:tc>
          <w:tcPr>
            <w:tcW w:w="70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轮次</w:t>
            </w:r>
          </w:p>
        </w:tc>
        <w:tc>
          <w:tcPr>
            <w:tcW w:w="11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时间</w:t>
            </w:r>
          </w:p>
        </w:tc>
        <w:tc>
          <w:tcPr>
            <w:tcW w:w="60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题量</w:t>
            </w:r>
          </w:p>
        </w:tc>
        <w:tc>
          <w:tcPr>
            <w:tcW w:w="24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覆盖维度</w:t>
            </w:r>
          </w:p>
        </w:tc>
        <w:tc>
          <w:tcPr>
            <w:tcW w:w="21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测试结论</w:t>
            </w:r>
          </w:p>
        </w:tc>
        <w:tc>
          <w:tcPr>
            <w:tcW w:w="1250" w:type="dxa"/>
            <w:tcBorders>
              <w:bottom w:val="single" w:sz="6" w:space="0" w:color="000000"/>
            </w:tcBorders>
            <w:vAlign w:val="center"/>
          </w:tcPr>
          <w:p>
            <w:pPr>
              <w:spacing w:line="240" w:lineRule="auto" w:before="20" w:after="20"/>
              <w:jc w:val="center"/>
            </w:pPr>
            <w:r>
              <w:rPr>
                <w:rFonts w:ascii="Times New Roman" w:hAnsi="Times New Roman" w:eastAsia="仿宋_GB2312"/>
                <w:b/>
                <w:sz w:val="21"/>
                <w:szCs w:val="21"/>
              </w:rPr>
              <w:t xml:space="preserve">对应改进</w:t>
            </w:r>
          </w:p>
        </w:tc>
      </w:tr>
      <w:tr>
        <w:trPr>
          <w:cantSplit/>
        </w:trPr>
        <w:tc>
          <w:tcPr>
            <w:tcW w:w="700" w:type="dxa"/>
            <w:vAlign w:val="center"/>
          </w:tcPr>
          <w:p>
            <w:pPr>
              <w:spacing w:line="240" w:lineRule="auto" w:before="20" w:after="20"/>
              <w:jc w:val="center"/>
            </w:pPr>
            <w:r>
              <w:rPr>
                <w:rFonts w:ascii="Times New Roman" w:hAnsi="Times New Roman" w:eastAsia="仿宋_GB2312"/>
                <w:b w:val="0"/>
                <w:sz w:val="21"/>
                <w:szCs w:val="21"/>
              </w:rPr>
              <w:t xml:space="preserve">首轮</w:t>
            </w:r>
          </w:p>
        </w:tc>
        <w:tc>
          <w:tcPr>
            <w:tcW w:w="1150" w:type="dxa"/>
            <w:vAlign w:val="center"/>
          </w:tcPr>
          <w:p>
            <w:pPr>
              <w:spacing w:line="240" w:lineRule="auto" w:before="20" w:after="20"/>
              <w:jc w:val="left"/>
            </w:pPr>
            <w:r>
              <w:rPr>
                <w:rFonts w:ascii="Times New Roman" w:hAnsi="Times New Roman" w:eastAsia="仿宋_GB2312"/>
                <w:b w:val="0"/>
                <w:sz w:val="21"/>
                <w:szCs w:val="21"/>
              </w:rPr>
              <w:t xml:space="preserve">2026年10月25日</w:t>
            </w:r>
          </w:p>
        </w:tc>
        <w:tc>
          <w:tcPr>
            <w:tcW w:w="600" w:type="dxa"/>
            <w:vAlign w:val="center"/>
          </w:tcPr>
          <w:p>
            <w:pPr>
              <w:spacing w:line="240" w:lineRule="auto" w:before="20" w:after="20"/>
              <w:jc w:val="left"/>
            </w:pPr>
            <w:r>
              <w:rPr>
                <w:rFonts w:ascii="Times New Roman" w:hAnsi="Times New Roman" w:eastAsia="仿宋_GB2312"/>
                <w:b w:val="0"/>
                <w:sz w:val="21"/>
                <w:szCs w:val="21"/>
              </w:rPr>
              <w:t xml:space="preserve">5 题</w:t>
            </w:r>
          </w:p>
        </w:tc>
        <w:tc>
          <w:tcPr>
            <w:tcW w:w="2450" w:type="dxa"/>
            <w:vAlign w:val="center"/>
          </w:tcPr>
          <w:p>
            <w:pPr>
              <w:spacing w:line="240" w:lineRule="auto" w:before="20" w:after="20"/>
              <w:jc w:val="left"/>
            </w:pPr>
            <w:r>
              <w:rPr>
                <w:rFonts w:ascii="Times New Roman" w:hAnsi="Times New Roman" w:eastAsia="仿宋_GB2312"/>
                <w:b w:val="0"/>
                <w:sz w:val="21"/>
                <w:szCs w:val="21"/>
              </w:rPr>
              <w:t xml:space="preserve">库外问题识别、错误前提诱导、防编造</w:t>
            </w:r>
          </w:p>
        </w:tc>
        <w:tc>
          <w:tcPr>
            <w:tcW w:w="2150" w:type="dxa"/>
            <w:vAlign w:val="center"/>
          </w:tcPr>
          <w:p>
            <w:pPr>
              <w:spacing w:line="240" w:lineRule="auto" w:before="20" w:after="20"/>
              <w:jc w:val="left"/>
            </w:pPr>
            <w:r>
              <w:rPr>
                <w:rFonts w:ascii="Times New Roman" w:hAnsi="Times New Roman" w:eastAsia="仿宋_GB2312"/>
                <w:b w:val="0"/>
                <w:sz w:val="21"/>
                <w:szCs w:val="21"/>
              </w:rPr>
              <w:t xml:space="preserve">均能识别库外问题、不顺着错话说，未出现编造</w:t>
            </w:r>
          </w:p>
        </w:tc>
        <w:tc>
          <w:tcPr>
            <w:tcW w:w="1250" w:type="dxa"/>
            <w:vAlign w:val="center"/>
          </w:tcPr>
          <w:p>
            <w:pPr>
              <w:spacing w:line="240" w:lineRule="auto" w:before="20" w:after="20"/>
              <w:jc w:val="left"/>
            </w:pPr>
            <w:r>
              <w:rPr>
                <w:rFonts w:ascii="Times New Roman" w:hAnsi="Times New Roman" w:eastAsia="仿宋_GB2312"/>
                <w:b w:val="0"/>
                <w:sz w:val="21"/>
                <w:szCs w:val="21"/>
              </w:rPr>
              <w:t xml:space="preserve">可投入日常问答</w:t>
            </w:r>
          </w:p>
        </w:tc>
      </w:tr>
      <w:tr>
        <w:trPr>
          <w:cantSplit/>
        </w:trPr>
        <w:tc>
          <w:tcPr>
            <w:tcW w:w="700" w:type="dxa"/>
            <w:vAlign w:val="center"/>
          </w:tcPr>
          <w:p>
            <w:pPr>
              <w:spacing w:line="240" w:lineRule="auto" w:before="20" w:after="20"/>
              <w:jc w:val="center"/>
            </w:pPr>
            <w:r>
              <w:rPr>
                <w:rFonts w:ascii="Times New Roman" w:hAnsi="Times New Roman" w:eastAsia="仿宋_GB2312"/>
                <w:b w:val="0"/>
                <w:sz w:val="21"/>
                <w:szCs w:val="21"/>
              </w:rPr>
              <w:t xml:space="preserve">二轮</w:t>
            </w:r>
          </w:p>
        </w:tc>
        <w:tc>
          <w:tcPr>
            <w:tcW w:w="1150" w:type="dxa"/>
            <w:vAlign w:val="center"/>
          </w:tcPr>
          <w:p>
            <w:pPr>
              <w:spacing w:line="240" w:lineRule="auto" w:before="20" w:after="20"/>
              <w:jc w:val="left"/>
            </w:pPr>
            <w:r>
              <w:rPr>
                <w:rFonts w:ascii="Times New Roman" w:hAnsi="Times New Roman" w:eastAsia="仿宋_GB2312"/>
                <w:b w:val="0"/>
                <w:sz w:val="21"/>
                <w:szCs w:val="21"/>
              </w:rPr>
              <w:t xml:space="preserve">2026年10月28日</w:t>
            </w:r>
          </w:p>
        </w:tc>
        <w:tc>
          <w:tcPr>
            <w:tcW w:w="600" w:type="dxa"/>
            <w:vAlign w:val="center"/>
          </w:tcPr>
          <w:p>
            <w:pPr>
              <w:spacing w:line="240" w:lineRule="auto" w:before="20" w:after="20"/>
              <w:jc w:val="left"/>
            </w:pPr>
            <w:r>
              <w:rPr>
                <w:rFonts w:ascii="Times New Roman" w:hAnsi="Times New Roman" w:eastAsia="仿宋_GB2312"/>
                <w:b w:val="0"/>
                <w:sz w:val="21"/>
                <w:szCs w:val="21"/>
              </w:rPr>
              <w:t xml:space="preserve">14 题</w:t>
            </w:r>
          </w:p>
        </w:tc>
        <w:tc>
          <w:tcPr>
            <w:tcW w:w="2450" w:type="dxa"/>
            <w:vAlign w:val="center"/>
          </w:tcPr>
          <w:p>
            <w:pPr>
              <w:spacing w:line="240" w:lineRule="auto" w:before="20" w:after="20"/>
              <w:jc w:val="left"/>
            </w:pPr>
            <w:r>
              <w:rPr>
                <w:rFonts w:ascii="Times New Roman" w:hAnsi="Times New Roman" w:eastAsia="仿宋_GB2312"/>
                <w:b w:val="0"/>
                <w:sz w:val="21"/>
                <w:szCs w:val="21"/>
              </w:rPr>
              <w:t xml:space="preserve">同题稳定性、引文溯源、跨文档召回、召回截断、多点规则叠加、版本识别、多轮上下文记忆</w:t>
            </w:r>
          </w:p>
        </w:tc>
        <w:tc>
          <w:tcPr>
            <w:tcW w:w="2150" w:type="dxa"/>
            <w:vAlign w:val="center"/>
          </w:tcPr>
          <w:p>
            <w:pPr>
              <w:spacing w:line="240" w:lineRule="auto" w:before="20" w:after="20"/>
              <w:jc w:val="left"/>
            </w:pPr>
            <w:r>
              <w:rPr>
                <w:rFonts w:ascii="Times New Roman" w:hAnsi="Times New Roman" w:eastAsia="仿宋_GB2312"/>
                <w:b w:val="0"/>
                <w:sz w:val="21"/>
                <w:szCs w:val="21"/>
              </w:rPr>
              <w:t xml:space="preserve">召回片段随机漂移、引用不可跳转、召回截断、要点遗漏、上下文脱节</w:t>
            </w:r>
          </w:p>
        </w:tc>
        <w:tc>
          <w:tcPr>
            <w:tcW w:w="1250" w:type="dxa"/>
            <w:vAlign w:val="center"/>
          </w:tcPr>
          <w:p>
            <w:pPr>
              <w:spacing w:line="240" w:lineRule="auto" w:before="20" w:after="20"/>
              <w:jc w:val="left"/>
            </w:pPr>
            <w:r>
              <w:rPr>
                <w:rFonts w:ascii="Times New Roman" w:hAnsi="Times New Roman" w:eastAsia="仿宋_GB2312"/>
                <w:b w:val="0"/>
                <w:sz w:val="21"/>
                <w:szCs w:val="21"/>
              </w:rPr>
              <w:t xml:space="preserve">学生精细打标、补版本状态字段、问答对训练回归</w:t>
            </w:r>
          </w:p>
        </w:tc>
      </w:tr>
    </w:tbl>
    <w:p>
      <w:pPr>
        <w:spacing w:line="240" w:lineRule="auto"/>
      </w:pP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19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四是摸清AI的能力边界，同样是教学成果。两轮19题测试把“召回截断、无分页、必须手工打标”的硬限制摆上台面，避免把AI当万能；这些限制反过来成为二期任务与课堂讨论素材。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