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68144">
      <w:pPr>
        <w:pStyle w:val="2"/>
        <w:keepNext w:val="0"/>
        <w:keepLines w:val="0"/>
        <w:widowControl/>
        <w:suppressLineNumbers w:val="0"/>
        <w:jc w:val="center"/>
      </w:pPr>
      <w:r>
        <w:rPr>
          <w:rStyle w:val="5"/>
        </w:rPr>
        <w:t>暑期教师企业实践总结汇报稿</w:t>
      </w:r>
    </w:p>
    <w:p w14:paraId="2A3FA843">
      <w:pPr>
        <w:pStyle w:val="2"/>
        <w:keepNext w:val="0"/>
        <w:keepLines w:val="0"/>
        <w:widowControl/>
        <w:suppressLineNumbers w:val="0"/>
      </w:pPr>
      <w:r>
        <w:t>各位领导</w:t>
      </w:r>
      <w:bookmarkStart w:id="0" w:name="_GoBack"/>
      <w:bookmarkEnd w:id="0"/>
      <w:r>
        <w:t>：</w:t>
      </w:r>
    </w:p>
    <w:p w14:paraId="38D217DB">
      <w:pPr>
        <w:pStyle w:val="2"/>
        <w:keepNext w:val="0"/>
        <w:keepLines w:val="0"/>
        <w:widowControl/>
        <w:suppressLineNumbers w:val="0"/>
      </w:pPr>
      <w:r>
        <w:t>按照学院暑期教师企业实践安排，我于7月15日至8月25日赴河北企富财税管理有限公司开展企业实践，历时42天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。实践任务是为企业搭建财税法律法规知识库，分类整理最新财税政策、税收法规、办税规范，方便企业人员快速查阅，助力企业合规办税、规避财税风险，并依托企业现有考勤、台账模板完善数据管理规范 。</w:t>
      </w:r>
    </w:p>
    <w:p w14:paraId="31BF6028">
      <w:pPr>
        <w:pStyle w:val="2"/>
        <w:keepNext w:val="0"/>
        <w:keepLines w:val="0"/>
        <w:widowControl/>
        <w:suppressLineNumbers w:val="0"/>
      </w:pPr>
      <w:r>
        <w:t>主要成果有三项。一是建成"0730资料库"，归集政策文档651篇。二是设计"二级标签＋层级标签＋格式辅助"三维标注体系，覆盖12个业务领域、80余个二级标签，每篇文档标注国家、省、市三个层级；医保板块按待遇保障、基金监管、药品目录、诊疗项目价格等细分为十余个子类；现已逐篇打标515篇，占79%。三是梳理企业高频咨询场景，形成配套政策包。</w:t>
      </w:r>
    </w:p>
    <w:p w14:paraId="4F762CE5">
      <w:pPr>
        <w:keepNext w:val="0"/>
        <w:keepLines w:val="0"/>
        <w:widowControl/>
        <w:suppressLineNumbers w:val="0"/>
        <w:jc w:val="left"/>
      </w:pPr>
      <w:r>
        <w:t>实践中最深的体会是政策迭代太快。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靠经验记忆已不可靠，知识库不仅要建，更要持续更新。</w:t>
      </w:r>
    </w:p>
    <w:p w14:paraId="4B2ADA78">
      <w:pPr>
        <w:pStyle w:val="2"/>
        <w:keepNext w:val="0"/>
        <w:keepLines w:val="0"/>
        <w:widowControl/>
        <w:suppressLineNumbers w:val="0"/>
      </w:pPr>
      <w:r>
        <w:t>据此提三点建议：为每篇文档增加"施行中／已废止"状态标识；建立季度巡检更新机制；围绕代理记账、涉税服务、企业管家三条业务线打包政策，把"文件仓库"升级为"作业支撑系统"。</w:t>
      </w:r>
    </w:p>
    <w:p w14:paraId="2723294B">
      <w:pPr>
        <w:pStyle w:val="2"/>
        <w:keepNext w:val="0"/>
        <w:keepLines w:val="0"/>
        <w:widowControl/>
        <w:suppressLineNumbers w:val="0"/>
      </w:pPr>
      <w:r>
        <w:t>实践也反哺了教学：651篇真实政策可直接转化为教学案例，职工医保待遇测算、政府采购评审专家七类不良行为等都能进课堂，知识库打标本身也可作为学生综合实训项目。</w:t>
      </w:r>
    </w:p>
    <w:p w14:paraId="2E204CB6">
      <w:pPr>
        <w:pStyle w:val="2"/>
        <w:keepNext w:val="0"/>
        <w:keepLines w:val="0"/>
        <w:widowControl/>
        <w:suppressLineNumbers w:val="0"/>
      </w:pPr>
      <w:r>
        <w:t>下一步我将补齐剩余文档打标，并推动知识库在企业端常态化维护。汇报完毕，谢谢大家。</w:t>
      </w:r>
    </w:p>
    <w:p w14:paraId="38DAA69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384210"/>
    <w:rsid w:val="6B38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2026-09-03T07:23:00Z</dcterms:created>
  <dc:creator>薛维君</dc:creator>
  <cp:lastModifiedBy>薛维君</cp:lastModifiedBy>
  <dcterms:modified xsi:type="dcterms:W3CDTF">2026-09-03T07:26:15Z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64F9EFAB236A4410AEAF3EC53EB54DA4_11</vt:lpwstr>
  </property>
</Properties>
</file>