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5778D">
      <w:pPr>
        <w:pStyle w:val="2"/>
        <w:pageBreakBefore w:val="0"/>
        <w:widowControl/>
        <w:kinsoku/>
        <w:wordWrap/>
        <w:overflowPunct/>
        <w:topLinePunct w:val="0"/>
        <w:autoSpaceDE/>
        <w:autoSpaceDN/>
        <w:bidi w:val="0"/>
        <w:adjustRightInd/>
        <w:snapToGrid/>
        <w:ind w:firstLine="643" w:firstLineChars="200"/>
        <w:jc w:val="center"/>
        <w:textAlignment w:val="auto"/>
      </w:pPr>
      <w:bookmarkStart w:id="0" w:name="暑期教师企业实践调研报告"/>
      <w:r>
        <w:t>暑期教师企业实践调研报告</w:t>
      </w:r>
      <w:bookmarkEnd w:id="0"/>
    </w:p>
    <w:p w14:paraId="47D3E86A">
      <w:pPr>
        <w:pStyle w:val="4"/>
        <w:pageBreakBefore w:val="0"/>
        <w:widowControl/>
        <w:kinsoku/>
        <w:wordWrap/>
        <w:overflowPunct/>
        <w:topLinePunct w:val="0"/>
        <w:autoSpaceDE/>
        <w:autoSpaceDN/>
        <w:bidi w:val="0"/>
        <w:adjustRightInd/>
        <w:snapToGrid/>
        <w:ind w:firstLine="482" w:firstLineChars="200"/>
        <w:jc w:val="center"/>
        <w:textAlignment w:val="auto"/>
        <w:rPr>
          <w:sz w:val="24"/>
          <w:szCs w:val="24"/>
        </w:rPr>
      </w:pPr>
      <w:bookmarkStart w:id="1" w:name="河北企富财税管理有限公司财税法律法规知识库建设专项调研"/>
      <w:r>
        <w:rPr>
          <w:sz w:val="24"/>
          <w:szCs w:val="24"/>
        </w:rPr>
        <w:t>——河北企富财税管理有限公司</w:t>
      </w:r>
      <w:bookmarkEnd w:id="1"/>
    </w:p>
    <w:p w14:paraId="41FBD84E">
      <w:pPr>
        <w:pStyle w:val="23"/>
        <w:pageBreakBefore w:val="0"/>
        <w:widowControl/>
        <w:kinsoku/>
        <w:wordWrap/>
        <w:overflowPunct/>
        <w:topLinePunct w:val="0"/>
        <w:autoSpaceDE/>
        <w:autoSpaceDN/>
        <w:bidi w:val="0"/>
        <w:adjustRightInd/>
        <w:snapToGrid/>
        <w:ind w:firstLine="480" w:firstLineChars="200"/>
        <w:textAlignment w:val="auto"/>
      </w:pPr>
      <w:r>
        <w:rPr>
          <w:b/>
        </w:rPr>
        <w:t>调研类型</w:t>
      </w:r>
      <w:r>
        <w:t xml:space="preserve">：部门组织的企业调研（考察观摩） </w:t>
      </w:r>
    </w:p>
    <w:p w14:paraId="5287C3C9">
      <w:pPr>
        <w:pStyle w:val="23"/>
        <w:pageBreakBefore w:val="0"/>
        <w:widowControl/>
        <w:kinsoku/>
        <w:wordWrap/>
        <w:overflowPunct/>
        <w:topLinePunct w:val="0"/>
        <w:autoSpaceDE/>
        <w:autoSpaceDN/>
        <w:bidi w:val="0"/>
        <w:adjustRightInd/>
        <w:snapToGrid/>
        <w:ind w:firstLine="480" w:firstLineChars="200"/>
        <w:textAlignment w:val="auto"/>
      </w:pPr>
      <w:r>
        <w:rPr>
          <w:b/>
        </w:rPr>
        <w:t>实践教师</w:t>
      </w:r>
      <w:r>
        <w:t xml:space="preserve">：薛辉 </w:t>
      </w:r>
    </w:p>
    <w:p w14:paraId="2CE8C6FE">
      <w:pPr>
        <w:pStyle w:val="23"/>
        <w:pageBreakBefore w:val="0"/>
        <w:widowControl/>
        <w:kinsoku/>
        <w:wordWrap/>
        <w:overflowPunct/>
        <w:topLinePunct w:val="0"/>
        <w:autoSpaceDE/>
        <w:autoSpaceDN/>
        <w:bidi w:val="0"/>
        <w:adjustRightInd/>
        <w:snapToGrid/>
        <w:ind w:firstLine="480" w:firstLineChars="200"/>
        <w:textAlignment w:val="auto"/>
      </w:pPr>
      <w:r>
        <w:rPr>
          <w:b/>
        </w:rPr>
        <w:t>实践企业</w:t>
      </w:r>
      <w:r>
        <w:t xml:space="preserve">：河北企富财税管理有限公司（石家庄） </w:t>
      </w:r>
    </w:p>
    <w:p w14:paraId="3AD5AA21">
      <w:pPr>
        <w:pStyle w:val="23"/>
        <w:pageBreakBefore w:val="0"/>
        <w:widowControl/>
        <w:kinsoku/>
        <w:wordWrap/>
        <w:overflowPunct/>
        <w:topLinePunct w:val="0"/>
        <w:autoSpaceDE/>
        <w:autoSpaceDN/>
        <w:bidi w:val="0"/>
        <w:adjustRightInd/>
        <w:snapToGrid/>
        <w:ind w:firstLine="480" w:firstLineChars="200"/>
        <w:textAlignment w:val="auto"/>
      </w:pPr>
      <w:r>
        <w:rPr>
          <w:b/>
        </w:rPr>
        <w:t>实践时间</w:t>
      </w:r>
      <w:r>
        <w:t xml:space="preserve">：2026年7月15日至2026年8月25日，共42天 </w:t>
      </w:r>
    </w:p>
    <w:p w14:paraId="48243486">
      <w:pPr>
        <w:pStyle w:val="23"/>
        <w:pageBreakBefore w:val="0"/>
        <w:widowControl/>
        <w:kinsoku/>
        <w:wordWrap/>
        <w:overflowPunct/>
        <w:topLinePunct w:val="0"/>
        <w:autoSpaceDE/>
        <w:autoSpaceDN/>
        <w:bidi w:val="0"/>
        <w:adjustRightInd/>
        <w:snapToGrid/>
        <w:ind w:firstLine="480" w:firstLineChars="200"/>
        <w:textAlignment w:val="auto"/>
      </w:pPr>
      <w:r>
        <w:rPr>
          <w:b/>
        </w:rPr>
        <w:t>报告日期</w:t>
      </w:r>
      <w:r>
        <w:t>：2026年9月3日</w:t>
      </w:r>
    </w:p>
    <w:p w14:paraId="66D0B449">
      <w:pPr>
        <w:pageBreakBefore w:val="0"/>
        <w:widowControl/>
        <w:kinsoku/>
        <w:wordWrap/>
        <w:overflowPunct/>
        <w:topLinePunct w:val="0"/>
        <w:autoSpaceDE/>
        <w:autoSpaceDN/>
        <w:bidi w:val="0"/>
        <w:adjustRightInd/>
        <w:snapToGrid/>
        <w:ind w:firstLine="480" w:firstLineChars="200"/>
        <w:textAlignment w:val="auto"/>
      </w:pPr>
      <w:r>
        <w:pict>
          <v:rect id="_x0000_i1025" o:spt="1" style="height:1.5pt;width:0pt;" coordsize="21600,21600" o:hr="t" o:hrstd="t" o:hralign="center">
            <v:path/>
            <v:fill focussize="0,0"/>
            <v:stroke/>
            <v:imagedata o:title=""/>
            <o:lock v:ext="edit"/>
            <w10:wrap type="none"/>
            <w10:anchorlock/>
          </v:rect>
        </w:pict>
      </w:r>
    </w:p>
    <w:p w14:paraId="3B19C1E6">
      <w:pPr>
        <w:pStyle w:val="4"/>
        <w:pageBreakBefore w:val="0"/>
        <w:widowControl/>
        <w:kinsoku/>
        <w:wordWrap/>
        <w:overflowPunct/>
        <w:topLinePunct w:val="0"/>
        <w:autoSpaceDE/>
        <w:autoSpaceDN/>
        <w:bidi w:val="0"/>
        <w:adjustRightInd/>
        <w:snapToGrid/>
        <w:ind w:firstLine="643" w:firstLineChars="200"/>
        <w:textAlignment w:val="auto"/>
      </w:pPr>
      <w:bookmarkStart w:id="2" w:name="一调研基本情况"/>
      <w:r>
        <w:t>一、调研基本情况</w:t>
      </w:r>
      <w:bookmarkEnd w:id="2"/>
    </w:p>
    <w:p w14:paraId="74782C57">
      <w:pPr>
        <w:pStyle w:val="23"/>
        <w:pageBreakBefore w:val="0"/>
        <w:widowControl/>
        <w:kinsoku/>
        <w:wordWrap/>
        <w:overflowPunct/>
        <w:topLinePunct w:val="0"/>
        <w:autoSpaceDE/>
        <w:autoSpaceDN/>
        <w:bidi w:val="0"/>
        <w:adjustRightInd/>
        <w:snapToGrid/>
        <w:ind w:firstLine="480" w:firstLineChars="200"/>
        <w:textAlignment w:val="auto"/>
      </w:pPr>
      <w:r>
        <w:t>根据学院《暑期教师企业实践方案》安排，本人于2026年7月15日至8月25日赴河北企富财税管理有限公司开展企业实践（考察观摩）。本次实践由部门协调安排，企业聚焦财税服务、代理记账、企业管家等技能方向，属学院重点协作企业之一。</w:t>
      </w:r>
    </w:p>
    <w:p w14:paraId="2A3D22EE">
      <w:pPr>
        <w:pStyle w:val="3"/>
        <w:pageBreakBefore w:val="0"/>
        <w:widowControl/>
        <w:kinsoku/>
        <w:wordWrap/>
        <w:overflowPunct/>
        <w:topLinePunct w:val="0"/>
        <w:autoSpaceDE/>
        <w:autoSpaceDN/>
        <w:bidi w:val="0"/>
        <w:adjustRightInd/>
        <w:snapToGrid/>
        <w:ind w:firstLine="480" w:firstLineChars="200"/>
        <w:textAlignment w:val="auto"/>
      </w:pPr>
      <w:r>
        <w:t>实践方案确定的建设任务为：为企业搭建财税法律法规知识库，分类整理最新财税政策、税收法规、办税规范，更新政策细则，方便企业人员快速查阅，助力企业合规办税、规避财税风险；并依托企业现有考勤、台账模板，完善数据管理规范。</w:t>
      </w:r>
    </w:p>
    <w:p w14:paraId="3501292D">
      <w:pPr>
        <w:pStyle w:val="3"/>
        <w:pageBreakBefore w:val="0"/>
        <w:widowControl/>
        <w:kinsoku/>
        <w:wordWrap/>
        <w:overflowPunct/>
        <w:topLinePunct w:val="0"/>
        <w:autoSpaceDE/>
        <w:autoSpaceDN/>
        <w:bidi w:val="0"/>
        <w:adjustRightInd/>
        <w:snapToGrid/>
        <w:ind w:firstLine="480" w:firstLineChars="200"/>
        <w:textAlignment w:val="auto"/>
      </w:pPr>
      <w:r>
        <w:t>调研采取四种方式推进：一是实地走访与现场观摩，了解企业代理记账、涉税服务、企业管家三条业务线的作业流程与知识使用场景；二是岗位跟岗与座谈访谈，收集一线人员在政策查找、口径判断、客户答复中的实际困难；三是资料归集与清洗，对企业历年积累的政策文件、内部台账模板进行系统整理；四是知识库搭建与结构化标注，形成可检索、可维护的知识资产。</w:t>
      </w:r>
    </w:p>
    <w:p w14:paraId="66772472">
      <w:pPr>
        <w:pStyle w:val="4"/>
        <w:pageBreakBefore w:val="0"/>
        <w:widowControl/>
        <w:kinsoku/>
        <w:wordWrap/>
        <w:overflowPunct/>
        <w:topLinePunct w:val="0"/>
        <w:autoSpaceDE/>
        <w:autoSpaceDN/>
        <w:bidi w:val="0"/>
        <w:adjustRightInd/>
        <w:snapToGrid/>
        <w:ind w:firstLine="643" w:firstLineChars="200"/>
        <w:textAlignment w:val="auto"/>
      </w:pPr>
      <w:bookmarkStart w:id="3" w:name="二调研背景与目的"/>
      <w:r>
        <w:t>二、调研背景与目的</w:t>
      </w:r>
      <w:bookmarkEnd w:id="3"/>
    </w:p>
    <w:p w14:paraId="1F669F6D">
      <w:pPr>
        <w:pStyle w:val="23"/>
        <w:pageBreakBefore w:val="0"/>
        <w:widowControl/>
        <w:kinsoku/>
        <w:wordWrap/>
        <w:overflowPunct/>
        <w:topLinePunct w:val="0"/>
        <w:autoSpaceDE/>
        <w:autoSpaceDN/>
        <w:bidi w:val="0"/>
        <w:adjustRightInd/>
        <w:snapToGrid/>
        <w:ind w:firstLine="480" w:firstLineChars="200"/>
        <w:textAlignment w:val="auto"/>
        <w:rPr>
          <w:b/>
        </w:rPr>
      </w:pPr>
      <w:r>
        <w:rPr>
          <w:b/>
        </w:rPr>
        <w:t>（一）行业监管趋严，倒逼机构提升知识管理能力</w:t>
      </w:r>
    </w:p>
    <w:p w14:paraId="4145DA13">
      <w:pPr>
        <w:pStyle w:val="23"/>
        <w:pageBreakBefore w:val="0"/>
        <w:widowControl/>
        <w:kinsoku/>
        <w:wordWrap/>
        <w:overflowPunct/>
        <w:topLinePunct w:val="0"/>
        <w:autoSpaceDE/>
        <w:autoSpaceDN/>
        <w:bidi w:val="0"/>
        <w:adjustRightInd/>
        <w:snapToGrid/>
        <w:ind w:firstLine="480" w:firstLineChars="200"/>
        <w:textAlignment w:val="auto"/>
      </w:pPr>
      <w:r>
        <w:t xml:space="preserve"> 2025年3月17日国家税务总局公布《涉税专业服务管理办法（试行）》（国家税务总局令第58号），自2025年5月1日起施行。该办法明确涉税专业服务机构包括税务师事务所、会计师事务所、律师事务所、代理记账机构、税务代理公司、财税类咨询公司等；涉税专业服务包括纳税申报代办、一般税务咨询、专业税务顾问、税务合规计划、涉税鉴证、纳税情况审查等八类，并划分为一般与特定两类。办法要求涉税专业服务机构加强合规建设，完善内部控制制度，建立质量管理制度、风险控制机制，建立业务记录制度并形成工作底稿，支持涉税服务人员参加继续教育；税务机关建立以实名制为基础的信用管理与风险管理机制，涉税专业服务信用（TSC）由高至低分为五级。这一新规直接把“政策掌握的准确性、可追溯性”变成了机构的合规义务，知识库不再是锦上添花，而是必备基础设施。</w:t>
      </w:r>
    </w:p>
    <w:p w14:paraId="06210FF6">
      <w:pPr>
        <w:pStyle w:val="3"/>
        <w:pageBreakBefore w:val="0"/>
        <w:widowControl/>
        <w:kinsoku/>
        <w:wordWrap/>
        <w:overflowPunct/>
        <w:topLinePunct w:val="0"/>
        <w:autoSpaceDE/>
        <w:autoSpaceDN/>
        <w:bidi w:val="0"/>
        <w:adjustRightInd/>
        <w:snapToGrid/>
        <w:ind w:firstLine="480" w:firstLineChars="200"/>
        <w:textAlignment w:val="auto"/>
      </w:pPr>
      <w:r>
        <w:rPr>
          <w:b/>
        </w:rPr>
        <w:t>（二）政策迭代频繁，人工记忆难以承载</w:t>
      </w:r>
    </w:p>
    <w:p w14:paraId="575923F2">
      <w:pPr>
        <w:pStyle w:val="3"/>
        <w:pageBreakBefore w:val="0"/>
        <w:widowControl/>
        <w:kinsoku/>
        <w:wordWrap/>
        <w:overflowPunct/>
        <w:topLinePunct w:val="0"/>
        <w:autoSpaceDE/>
        <w:autoSpaceDN/>
        <w:bidi w:val="0"/>
        <w:adjustRightInd/>
        <w:snapToGrid/>
        <w:ind w:firstLine="480" w:firstLineChars="200"/>
        <w:textAlignment w:val="auto"/>
      </w:pPr>
      <w:r>
        <w:t>以石家庄市职工基本医疗保险为例，办法在2017年（石政发〔2017〕2号）、2019年（石政规〔2019〕7号）、2024年（石政规〔2024〕7号）三度修订，起付标准、支付比例、年度限额逐次调整；河北省政府采购领域，《河北省政府采购评审专家管理实施办法》（冀财采〔2025〕12号）自2025年9月1日起施行、有效期5年，同时废止冀财采〔2023〕13号；《河北省政府采购代理机构监督管理实施办法》自2025年1月1日起施行、有效期5年。一线人员若凭经验判断，极易引用失效条款。</w:t>
      </w:r>
    </w:p>
    <w:p w14:paraId="3FEEB68E">
      <w:pPr>
        <w:pStyle w:val="3"/>
        <w:pageBreakBefore w:val="0"/>
        <w:widowControl/>
        <w:kinsoku/>
        <w:wordWrap/>
        <w:overflowPunct/>
        <w:topLinePunct w:val="0"/>
        <w:autoSpaceDE/>
        <w:autoSpaceDN/>
        <w:bidi w:val="0"/>
        <w:adjustRightInd/>
        <w:snapToGrid/>
        <w:ind w:firstLine="480" w:firstLineChars="200"/>
        <w:textAlignment w:val="auto"/>
      </w:pPr>
      <w:r>
        <w:rPr>
          <w:b/>
        </w:rPr>
        <w:t>（三）企业现实需求</w:t>
      </w:r>
    </w:p>
    <w:p w14:paraId="3EA18E73">
      <w:pPr>
        <w:pStyle w:val="3"/>
        <w:pageBreakBefore w:val="0"/>
        <w:widowControl/>
        <w:kinsoku/>
        <w:wordWrap/>
        <w:overflowPunct/>
        <w:topLinePunct w:val="0"/>
        <w:autoSpaceDE/>
        <w:autoSpaceDN/>
        <w:bidi w:val="0"/>
        <w:adjustRightInd/>
        <w:snapToGrid/>
        <w:ind w:firstLine="480" w:firstLineChars="200"/>
        <w:textAlignment w:val="auto"/>
      </w:pPr>
      <w:r>
        <w:t>代理记账与企业管家业务面对的客户多为中小微企业，问题集中在小规模纳税人免税标准、小型微利企业判定、六税两费减免、社保医保缴费与待遇等高频事项，要求答复“快、准、可追溯”。这正是本次知识库建设的出发点。</w:t>
      </w:r>
    </w:p>
    <w:p w14:paraId="7AFC853D">
      <w:pPr>
        <w:pStyle w:val="4"/>
        <w:pageBreakBefore w:val="0"/>
        <w:widowControl/>
        <w:kinsoku/>
        <w:wordWrap/>
        <w:overflowPunct/>
        <w:topLinePunct w:val="0"/>
        <w:autoSpaceDE/>
        <w:autoSpaceDN/>
        <w:bidi w:val="0"/>
        <w:adjustRightInd/>
        <w:snapToGrid/>
        <w:ind w:firstLine="643" w:firstLineChars="200"/>
        <w:textAlignment w:val="auto"/>
      </w:pPr>
      <w:bookmarkStart w:id="4" w:name="三调研实施过程与知识库建设成果"/>
      <w:r>
        <w:t>三、调研实施过程与知识库建设成果</w:t>
      </w:r>
      <w:bookmarkEnd w:id="4"/>
    </w:p>
    <w:p w14:paraId="4612D04F">
      <w:pPr>
        <w:pStyle w:val="23"/>
        <w:pageBreakBefore w:val="0"/>
        <w:widowControl/>
        <w:kinsoku/>
        <w:wordWrap/>
        <w:overflowPunct/>
        <w:topLinePunct w:val="0"/>
        <w:autoSpaceDE/>
        <w:autoSpaceDN/>
        <w:bidi w:val="0"/>
        <w:adjustRightInd/>
        <w:snapToGrid/>
        <w:ind w:firstLine="480" w:firstLineChars="200"/>
        <w:textAlignment w:val="auto"/>
      </w:pPr>
      <w:r>
        <w:rPr>
          <w:b/>
        </w:rPr>
        <w:t>（一）建设规模与格式构成</w:t>
      </w:r>
    </w:p>
    <w:p w14:paraId="6C1E46FC">
      <w:pPr>
        <w:pStyle w:val="23"/>
        <w:pageBreakBefore w:val="0"/>
        <w:widowControl/>
        <w:kinsoku/>
        <w:wordWrap/>
        <w:overflowPunct/>
        <w:topLinePunct w:val="0"/>
        <w:autoSpaceDE/>
        <w:autoSpaceDN/>
        <w:bidi w:val="0"/>
        <w:adjustRightInd/>
        <w:snapToGrid/>
        <w:ind w:firstLine="480" w:firstLineChars="200"/>
        <w:textAlignment w:val="auto"/>
      </w:pPr>
      <w:r>
        <w:t>本次建成“0730资料库”，收录文档651篇，其中PDF 232篇、Word 397篇、Excel 22篇，无PPT、网页、笔记等其他格式文档。三种格式分别承担不同功能：PDF多为政策原文与官方发布件，Word多为可编辑的制度文本与配套细则，Excel以目录表、价格表、科目表等结构化数据为主。</w:t>
      </w:r>
    </w:p>
    <w:p w14:paraId="72C69C86">
      <w:pPr>
        <w:pStyle w:val="3"/>
        <w:pageBreakBefore w:val="0"/>
        <w:widowControl/>
        <w:kinsoku/>
        <w:wordWrap/>
        <w:overflowPunct/>
        <w:topLinePunct w:val="0"/>
        <w:autoSpaceDE/>
        <w:autoSpaceDN/>
        <w:bidi w:val="0"/>
        <w:adjustRightInd/>
        <w:snapToGrid/>
        <w:ind w:firstLine="480" w:firstLineChars="200"/>
        <w:textAlignment w:val="auto"/>
      </w:pPr>
      <w:r>
        <w:rPr>
          <w:b/>
        </w:rPr>
        <w:t>（二）分类体系设计</w:t>
      </w:r>
    </w:p>
    <w:p w14:paraId="5A65C7C0">
      <w:pPr>
        <w:pStyle w:val="3"/>
        <w:pageBreakBefore w:val="0"/>
        <w:widowControl/>
        <w:kinsoku/>
        <w:wordWrap/>
        <w:overflowPunct/>
        <w:topLinePunct w:val="0"/>
        <w:autoSpaceDE/>
        <w:autoSpaceDN/>
        <w:bidi w:val="0"/>
        <w:adjustRightInd/>
        <w:snapToGrid/>
        <w:ind w:firstLine="480" w:firstLineChars="200"/>
        <w:textAlignment w:val="auto"/>
      </w:pPr>
      <w:r>
        <w:t>采用“二级标签法”（行业-业务）构建分类体系，覆盖医保、财税、会计、审计、国资、农村集体、行政事业、招投标与基建投资、社保、医疗卫生、党建纪检、其他行业共12个一级领域、80余个二级标签。其中医保板块因企业业务高频，作重点细分，拆分为待遇保障（职工/居民）、筹资缴费、统筹管理、生育保险、经办管理、支付结算、支付方式改革、支付标准、基金管理、财政补助、顶层改革、定点管理、基金监管、医疗救助与扶贫、药品目录（含中药饮片、中药配方颗粒）、特殊病种目录、集中带量采购、诊疗项目与价格、耗材目录等子类。</w:t>
      </w:r>
    </w:p>
    <w:p w14:paraId="3642AE2E">
      <w:pPr>
        <w:pStyle w:val="3"/>
        <w:pageBreakBefore w:val="0"/>
        <w:widowControl/>
        <w:kinsoku/>
        <w:wordWrap/>
        <w:overflowPunct/>
        <w:topLinePunct w:val="0"/>
        <w:autoSpaceDE/>
        <w:autoSpaceDN/>
        <w:bidi w:val="0"/>
        <w:adjustRightInd/>
        <w:snapToGrid/>
        <w:ind w:firstLine="480" w:firstLineChars="200"/>
        <w:textAlignment w:val="auto"/>
      </w:pPr>
      <w:r>
        <w:rPr>
          <w:b/>
        </w:rPr>
        <w:t>（三）层级与形态标注</w:t>
      </w:r>
    </w:p>
    <w:p w14:paraId="2A7C2FDA">
      <w:pPr>
        <w:pStyle w:val="3"/>
        <w:pageBreakBefore w:val="0"/>
        <w:widowControl/>
        <w:kinsoku/>
        <w:wordWrap/>
        <w:overflowPunct/>
        <w:topLinePunct w:val="0"/>
        <w:autoSpaceDE/>
        <w:autoSpaceDN/>
        <w:bidi w:val="0"/>
        <w:adjustRightInd/>
        <w:snapToGrid/>
        <w:ind w:firstLine="480" w:firstLineChars="200"/>
        <w:textAlignment w:val="auto"/>
      </w:pPr>
      <w:r>
        <w:t>每篇文档同步标注层级标签（国家政策／河北省／石家庄市），判定规则为：标题含“石家庄、石政、石医保、石人社、石财、长安区”等标识的归为石家庄市；含“河北、冀政、冀财、冀医保、冀价、省财政厅”等标识的归为河北省；其余归为国家政策；转发类文件按执行层级标注。同时标注格式辅助标签，由“文件格式＋内容形态”构成（如 PDF-政策原文、Word-目录、Excel-价格表、PDF-问答汇编），便于区分政策文本与数据表单。</w:t>
      </w:r>
    </w:p>
    <w:p w14:paraId="21B966FF">
      <w:pPr>
        <w:pStyle w:val="4"/>
        <w:pageBreakBefore w:val="0"/>
        <w:widowControl/>
        <w:kinsoku/>
        <w:wordWrap/>
        <w:overflowPunct/>
        <w:topLinePunct w:val="0"/>
        <w:autoSpaceDE/>
        <w:autoSpaceDN/>
        <w:bidi w:val="0"/>
        <w:adjustRightInd/>
        <w:snapToGrid/>
        <w:ind w:firstLine="643" w:firstLineChars="200"/>
        <w:textAlignment w:val="auto"/>
      </w:pPr>
      <w:bookmarkStart w:id="5" w:name="四知识库内容板块剖析"/>
      <w:r>
        <w:t>四、知识库内容板块剖析</w:t>
      </w:r>
      <w:bookmarkEnd w:id="5"/>
    </w:p>
    <w:p w14:paraId="0F156654">
      <w:pPr>
        <w:pStyle w:val="23"/>
        <w:pageBreakBefore w:val="0"/>
        <w:widowControl/>
        <w:kinsoku/>
        <w:wordWrap/>
        <w:overflowPunct/>
        <w:topLinePunct w:val="0"/>
        <w:autoSpaceDE/>
        <w:autoSpaceDN/>
        <w:bidi w:val="0"/>
        <w:adjustRightInd/>
        <w:snapToGrid/>
        <w:ind w:firstLine="480" w:firstLineChars="200"/>
        <w:textAlignment w:val="auto"/>
      </w:pPr>
      <w:r>
        <w:rPr>
          <w:b/>
        </w:rPr>
        <w:t>（一）医疗保障板块：颗粒度最细、更新链最完整</w:t>
      </w:r>
    </w:p>
    <w:p w14:paraId="6310BE52">
      <w:pPr>
        <w:pStyle w:val="23"/>
        <w:pageBreakBefore w:val="0"/>
        <w:widowControl/>
        <w:kinsoku/>
        <w:wordWrap/>
        <w:overflowPunct/>
        <w:topLinePunct w:val="0"/>
        <w:autoSpaceDE/>
        <w:autoSpaceDN/>
        <w:bidi w:val="0"/>
        <w:adjustRightInd/>
        <w:snapToGrid/>
        <w:ind w:firstLine="480" w:firstLineChars="200"/>
        <w:textAlignment w:val="auto"/>
      </w:pPr>
      <w:r>
        <w:t>该板块是本次建设的重点。石家庄市职工基本医疗保险形成三个版本完整链条：2017年版（石政发〔2017〕2号，自2017年1月1日起实施、有效期至2021年12月31日）、2019年版（石政规〔2019〕7号）、2024年版（石政规〔2024〕7号，2024年12月31日印发，自2025年1月1日起实施、原政策同步废止）。待遇差异清晰可比对：2017年版市区一级医疗机构起付线200元、支付90%，二级700元、85%，市属三级900元、83%，省属三级1200元、80%，年度支付限额25万元；2024年版则调整为市区一级100元、98%，二级500元、90%，市属三级600元、85%，省属三级900元、82%，年度限额35万元，并对中医医院、京津冀异地就医、跨省临时外出就医分别设置特别规则。此外，个人账户按门诊共济规定可用于近亲属就医购药负担费用，医疗补助基金、大病保险、长期护理保险等配套办法同步入库。</w:t>
      </w:r>
    </w:p>
    <w:p w14:paraId="0A568243">
      <w:pPr>
        <w:pStyle w:val="3"/>
        <w:pageBreakBefore w:val="0"/>
        <w:widowControl/>
        <w:kinsoku/>
        <w:wordWrap/>
        <w:overflowPunct/>
        <w:topLinePunct w:val="0"/>
        <w:autoSpaceDE/>
        <w:autoSpaceDN/>
        <w:bidi w:val="0"/>
        <w:adjustRightInd/>
        <w:snapToGrid/>
        <w:ind w:firstLine="480" w:firstLineChars="200"/>
        <w:textAlignment w:val="auto"/>
      </w:pPr>
      <w:r>
        <w:t>基金监管方向同步配套：《河北省医疗保障基金监管办法》（冀政字〔2019〕28号）确立政府统筹、多部门协同、联席会议、协议管理、智能监控、信用惩戒、举报奖励等机制，明确医保、卫健、市场监管、公安、财政、审计等部门职责，规定飞行检查与联合检查，并要求经办机构与定点医药机构签订服务协议、细化协议条款；对违反协议被解除服务的定点医药机构，3年内不得再签协议。《河北省医疗保障基金使用监督管理行政处罚裁量基准》进一步量化处罚：造成基金损失7000元以上7万元以下的，处骗取金额3倍罚款并暂停相关责任部门9个月医药服务；7万元以上50万元以下的，处4倍罚款并暂停12个月；50万元以上的，处5倍罚款并解除服务协议。经办层面则收录了河北省异地就医直接结算经办规程、石家庄市慢性病病种认定及门诊就医管理办法等实操文件。</w:t>
      </w:r>
    </w:p>
    <w:p w14:paraId="761B3A4B">
      <w:pPr>
        <w:pStyle w:val="3"/>
        <w:pageBreakBefore w:val="0"/>
        <w:widowControl/>
        <w:kinsoku/>
        <w:wordWrap/>
        <w:overflowPunct/>
        <w:topLinePunct w:val="0"/>
        <w:autoSpaceDE/>
        <w:autoSpaceDN/>
        <w:bidi w:val="0"/>
        <w:adjustRightInd/>
        <w:snapToGrid/>
        <w:ind w:firstLine="480" w:firstLineChars="200"/>
        <w:textAlignment w:val="auto"/>
      </w:pPr>
      <w:r>
        <w:rPr>
          <w:b/>
        </w:rPr>
        <w:t>（二）涉税专业服务与办税规范板块</w:t>
      </w:r>
    </w:p>
    <w:p w14:paraId="7A707E1E">
      <w:pPr>
        <w:pStyle w:val="3"/>
        <w:pageBreakBefore w:val="0"/>
        <w:widowControl/>
        <w:kinsoku/>
        <w:wordWrap/>
        <w:overflowPunct/>
        <w:topLinePunct w:val="0"/>
        <w:autoSpaceDE/>
        <w:autoSpaceDN/>
        <w:bidi w:val="0"/>
        <w:adjustRightInd/>
        <w:snapToGrid/>
        <w:ind w:firstLine="480" w:firstLineChars="200"/>
        <w:textAlignment w:val="auto"/>
      </w:pPr>
      <w:r>
        <w:t>除前述58号令外，入库了《全国税务机关纳税服务规范》（3.0版）、《税收征管操作规范》等办税程序性文件，覆盖申报、优惠办理、退抵税、定期定额等事项的办理规范与资料清单。《2019年以来系列税费支持政策即问即答汇编》收录了大量高频实务口径：月销售额10万元以下（季度30万元以下）增值税小规模纳税人免征增值税；适用3%征收率的应税销售收入减按1%征收；小型微利企业判定为年应纳税所得额不超过300万元、从业人数不超过300人、资产总额不超过5000万元；“六税两费”（资源税、城建税、房产税、城镇土地使用税、印花税、耕地占用税及教育费附加、地方教育附加）可在50%幅度内减征并可叠加享受；职工教育经费不超过工资薪金总额8%部分准予扣除。这些内容恰恰是代理记账业务中咨询量最大的部分，也是知识库使用频率最高的板块。</w:t>
      </w:r>
    </w:p>
    <w:p w14:paraId="76AAEF9E">
      <w:pPr>
        <w:pStyle w:val="3"/>
        <w:pageBreakBefore w:val="0"/>
        <w:widowControl/>
        <w:kinsoku/>
        <w:wordWrap/>
        <w:overflowPunct/>
        <w:topLinePunct w:val="0"/>
        <w:autoSpaceDE/>
        <w:autoSpaceDN/>
        <w:bidi w:val="0"/>
        <w:adjustRightInd/>
        <w:snapToGrid/>
        <w:ind w:firstLine="480" w:firstLineChars="200"/>
        <w:textAlignment w:val="auto"/>
      </w:pPr>
      <w:r>
        <w:rPr>
          <w:b/>
        </w:rPr>
        <w:t>（三）政府采购与招投标板块</w:t>
      </w:r>
    </w:p>
    <w:p w14:paraId="4E844CE6">
      <w:pPr>
        <w:pStyle w:val="3"/>
        <w:pageBreakBefore w:val="0"/>
        <w:widowControl/>
        <w:kinsoku/>
        <w:wordWrap/>
        <w:overflowPunct/>
        <w:topLinePunct w:val="0"/>
        <w:autoSpaceDE/>
        <w:autoSpaceDN/>
        <w:bidi w:val="0"/>
        <w:adjustRightInd/>
        <w:snapToGrid/>
        <w:ind w:firstLine="480" w:firstLineChars="200"/>
        <w:textAlignment w:val="auto"/>
      </w:pPr>
      <w:r>
        <w:t>收录河北省政府采购管理办法（冀政办〔2012〕7号）、河北省政府采购评审专家管理实施办法（冀财采〔2025〕12号）、河北省政府采购代理机构监督管理实施办法、政府采购货物和服务招标投标管理办法等。其中代理机构办法明确监督检查坚持“双随机、一公开”，检查内容涵盖名单真实性、委托代理协议、采购文件编制与发售、评审组织、信息公告、专家抽取与评价、保证金收退、质疑答复、档案管理等，并要求各级财政部门加强业务培训、结果向社会公开。评审专家办法则列举了未按评审程序评审、泄露评审情况、应回避未回避、收受贿赂等七类不良行为记录情形，并明确评审行为不因退休或解除聘任而免予追责。</w:t>
      </w:r>
    </w:p>
    <w:p w14:paraId="5478418C">
      <w:pPr>
        <w:pStyle w:val="3"/>
        <w:pageBreakBefore w:val="0"/>
        <w:widowControl/>
        <w:kinsoku/>
        <w:wordWrap/>
        <w:overflowPunct/>
        <w:topLinePunct w:val="0"/>
        <w:autoSpaceDE/>
        <w:autoSpaceDN/>
        <w:bidi w:val="0"/>
        <w:adjustRightInd/>
        <w:snapToGrid/>
        <w:ind w:firstLine="480" w:firstLineChars="200"/>
        <w:textAlignment w:val="auto"/>
      </w:pPr>
      <w:r>
        <w:rPr>
          <w:b/>
        </w:rPr>
        <w:t>（四）会计与审计板块</w:t>
      </w:r>
    </w:p>
    <w:p w14:paraId="6ED66B59">
      <w:pPr>
        <w:pStyle w:val="3"/>
        <w:pageBreakBefore w:val="0"/>
        <w:widowControl/>
        <w:kinsoku/>
        <w:wordWrap/>
        <w:overflowPunct/>
        <w:topLinePunct w:val="0"/>
        <w:autoSpaceDE/>
        <w:autoSpaceDN/>
        <w:bidi w:val="0"/>
        <w:adjustRightInd/>
        <w:snapToGrid/>
        <w:ind w:firstLine="480" w:firstLineChars="200"/>
        <w:textAlignment w:val="auto"/>
      </w:pPr>
      <w:r>
        <w:t>会计方向以《政府会计制度——行政事业单位会计科目和报表》及其与行政单位、事业单位原制度的衔接规定为主体，明确自2019年1月1日起执行新制度，规定了原账科目余额转入、未入账事项补记、补提折旧摊销、预算会计科目衔接、2019年1月1日资产负债表编制等完整流程，并附新旧科目对照表。审计方向收录《审计署关于内部审计工作的规定》（审计署第11号令，自2018年3月1日起施行，明确内部审计机构十二项职责与十一项权限）、《第3204号内部审计实务指南——经济责任审计》（系统规范审计准备、实施、报告、后续四阶段程序，十大审计内容，直接责任与领导责任划分，权责一致、审慎客观、边界清晰、重要事项、尽职免责五项原则，以及“三个区分开来”要求）。这部分内容为机构承接内控评价、经济责任审计辅助业务提供了方法论支撑。</w:t>
      </w:r>
      <w:bookmarkStart w:id="10" w:name="_GoBack"/>
      <w:bookmarkEnd w:id="10"/>
    </w:p>
    <w:p w14:paraId="064D1E24">
      <w:pPr>
        <w:pStyle w:val="3"/>
        <w:pageBreakBefore w:val="0"/>
        <w:widowControl/>
        <w:kinsoku/>
        <w:wordWrap/>
        <w:overflowPunct/>
        <w:topLinePunct w:val="0"/>
        <w:autoSpaceDE/>
        <w:autoSpaceDN/>
        <w:bidi w:val="0"/>
        <w:adjustRightInd/>
        <w:snapToGrid/>
        <w:ind w:firstLine="480" w:firstLineChars="200"/>
        <w:textAlignment w:val="auto"/>
      </w:pPr>
      <w:r>
        <w:rPr>
          <w:b/>
        </w:rPr>
        <w:t>（五）预算绩效与财政管理板块</w:t>
      </w:r>
    </w:p>
    <w:p w14:paraId="5DAA1B30">
      <w:pPr>
        <w:pStyle w:val="3"/>
        <w:pageBreakBefore w:val="0"/>
        <w:widowControl/>
        <w:kinsoku/>
        <w:wordWrap/>
        <w:overflowPunct/>
        <w:topLinePunct w:val="0"/>
        <w:autoSpaceDE/>
        <w:autoSpaceDN/>
        <w:bidi w:val="0"/>
        <w:adjustRightInd/>
        <w:snapToGrid/>
        <w:ind w:firstLine="480" w:firstLineChars="200"/>
        <w:textAlignment w:val="auto"/>
      </w:pPr>
      <w:r>
        <w:t>收录《项目支出绩效评价管理办法》（财预〔2020〕10号），明确绩效评价分为单位自评、部门评价和财政评价三种方式，遵循科学公正、统筹兼顾、激励约束、公开透明四项原则，评价结果与预算安排、政策调整实质性挂钩，体现“有效要安排、低效要压减、无效要问责”导向；同时配套预算管理、债务管理、国库支付、差旅会议培训费支出标准等文件。</w:t>
      </w:r>
    </w:p>
    <w:p w14:paraId="748552F9">
      <w:pPr>
        <w:pStyle w:val="3"/>
        <w:pageBreakBefore w:val="0"/>
        <w:widowControl/>
        <w:kinsoku/>
        <w:wordWrap/>
        <w:overflowPunct/>
        <w:topLinePunct w:val="0"/>
        <w:autoSpaceDE/>
        <w:autoSpaceDN/>
        <w:bidi w:val="0"/>
        <w:adjustRightInd/>
        <w:snapToGrid/>
        <w:ind w:firstLine="480" w:firstLineChars="200"/>
        <w:textAlignment w:val="auto"/>
      </w:pPr>
      <w:r>
        <w:rPr>
          <w:b/>
        </w:rPr>
        <w:t>（六）农村集体与基层财务板块</w:t>
      </w:r>
    </w:p>
    <w:p w14:paraId="5AAD07F1">
      <w:pPr>
        <w:pStyle w:val="3"/>
        <w:pageBreakBefore w:val="0"/>
        <w:widowControl/>
        <w:kinsoku/>
        <w:wordWrap/>
        <w:overflowPunct/>
        <w:topLinePunct w:val="0"/>
        <w:autoSpaceDE/>
        <w:autoSpaceDN/>
        <w:bidi w:val="0"/>
        <w:adjustRightInd/>
        <w:snapToGrid/>
        <w:ind w:firstLine="480" w:firstLineChars="200"/>
        <w:textAlignment w:val="auto"/>
      </w:pPr>
      <w:r>
        <w:t>收录《农村集体经济组织财务制度》（财农〔2021〕121号，自2022年1月1日起施行），明确财务管理主体为成员（代表）大会、理事会、监事会和会计人员，重大财务事项参照“四议两公开”机制并报乡镇党委政府或农业农村部门审核备案，可依法实行委托代理记账；配套中央四部门规范乡村财务管理的通知，以及石家庄市长安区关于农村集体资产监督和财务管理的指导意见（长办字〔2022〕5号），后者细化到财务审批回避制度、资金支取“双印鉴”监管、超过1000元采用转账结算、财务往来较多的村每月公布一次等操作层规定。</w:t>
      </w:r>
    </w:p>
    <w:p w14:paraId="604CD0E1">
      <w:pPr>
        <w:pStyle w:val="3"/>
        <w:pageBreakBefore w:val="0"/>
        <w:widowControl/>
        <w:kinsoku/>
        <w:wordWrap/>
        <w:overflowPunct/>
        <w:topLinePunct w:val="0"/>
        <w:autoSpaceDE/>
        <w:autoSpaceDN/>
        <w:bidi w:val="0"/>
        <w:adjustRightInd/>
        <w:snapToGrid/>
        <w:ind w:firstLine="480" w:firstLineChars="200"/>
        <w:textAlignment w:val="auto"/>
      </w:pPr>
      <w:r>
        <w:rPr>
          <w:b/>
        </w:rPr>
        <w:t>（七）党建纪检与廉洁风险板块</w:t>
      </w:r>
    </w:p>
    <w:p w14:paraId="6C0ECC16">
      <w:pPr>
        <w:pStyle w:val="3"/>
        <w:pageBreakBefore w:val="0"/>
        <w:widowControl/>
        <w:kinsoku/>
        <w:wordWrap/>
        <w:overflowPunct/>
        <w:topLinePunct w:val="0"/>
        <w:autoSpaceDE/>
        <w:autoSpaceDN/>
        <w:bidi w:val="0"/>
        <w:adjustRightInd/>
        <w:snapToGrid/>
        <w:ind w:firstLine="480" w:firstLineChars="200"/>
        <w:textAlignment w:val="auto"/>
      </w:pPr>
      <w:r>
        <w:t>收录“小金库”专项治理实施办法（中纪发〔2009〕7号）、《设立“小金库”和使用“小金库”款项违法违纪行为政纪处分暂行规定》（自2010年2月15日起施行）、《违规发放津贴补贴行为处分规定》及相关党纪解释等。该板块虽不直接面向客户业务，但对机构自身合规经营、执业风险教育具有基础作用，也是企业文化与客户信任建设的支撑材料。</w:t>
      </w:r>
    </w:p>
    <w:p w14:paraId="67D82376">
      <w:pPr>
        <w:pStyle w:val="4"/>
        <w:pageBreakBefore w:val="0"/>
        <w:widowControl/>
        <w:kinsoku/>
        <w:wordWrap/>
        <w:overflowPunct/>
        <w:topLinePunct w:val="0"/>
        <w:autoSpaceDE/>
        <w:autoSpaceDN/>
        <w:bidi w:val="0"/>
        <w:adjustRightInd/>
        <w:snapToGrid/>
        <w:ind w:firstLine="643" w:firstLineChars="200"/>
        <w:textAlignment w:val="auto"/>
      </w:pPr>
      <w:bookmarkStart w:id="6" w:name="五调研发现的问题"/>
      <w:r>
        <w:t>五、调研发现的问题</w:t>
      </w:r>
      <w:bookmarkEnd w:id="6"/>
    </w:p>
    <w:p w14:paraId="675DCEB5">
      <w:pPr>
        <w:pStyle w:val="23"/>
        <w:pageBreakBefore w:val="0"/>
        <w:widowControl/>
        <w:kinsoku/>
        <w:wordWrap/>
        <w:overflowPunct/>
        <w:topLinePunct w:val="0"/>
        <w:autoSpaceDE/>
        <w:autoSpaceDN/>
        <w:bidi w:val="0"/>
        <w:adjustRightInd/>
        <w:snapToGrid/>
        <w:ind w:firstLine="480" w:firstLineChars="200"/>
        <w:textAlignment w:val="auto"/>
      </w:pPr>
      <w:r>
        <w:rPr>
          <w:b/>
        </w:rPr>
        <w:t>（一）政策版本并存，失效文件识别成本高</w:t>
      </w:r>
    </w:p>
    <w:p w14:paraId="5F5A619F">
      <w:pPr>
        <w:pStyle w:val="23"/>
        <w:pageBreakBefore w:val="0"/>
        <w:widowControl/>
        <w:kinsoku/>
        <w:wordWrap/>
        <w:overflowPunct/>
        <w:topLinePunct w:val="0"/>
        <w:autoSpaceDE/>
        <w:autoSpaceDN/>
        <w:bidi w:val="0"/>
        <w:adjustRightInd/>
        <w:snapToGrid/>
        <w:ind w:firstLine="480" w:firstLineChars="200"/>
        <w:textAlignment w:val="auto"/>
      </w:pPr>
      <w:r>
        <w:t>如职工医保三版办法同时存在于资料中，若不作版本标识，一线人员极易引用已废止条款；冀财采〔2023〕13号被冀财采〔2025〕12号废止，同样存在新旧并存情况。</w:t>
      </w:r>
    </w:p>
    <w:p w14:paraId="4167C155">
      <w:pPr>
        <w:pStyle w:val="3"/>
        <w:pageBreakBefore w:val="0"/>
        <w:widowControl/>
        <w:kinsoku/>
        <w:wordWrap/>
        <w:overflowPunct/>
        <w:topLinePunct w:val="0"/>
        <w:autoSpaceDE/>
        <w:autoSpaceDN/>
        <w:bidi w:val="0"/>
        <w:adjustRightInd/>
        <w:snapToGrid/>
        <w:ind w:firstLine="480" w:firstLineChars="200"/>
        <w:textAlignment w:val="auto"/>
      </w:pPr>
      <w:r>
        <w:rPr>
          <w:b/>
        </w:rPr>
        <w:t>（二）重复文件与多版本文件较多</w:t>
      </w:r>
    </w:p>
    <w:p w14:paraId="2A7F1E88">
      <w:pPr>
        <w:pStyle w:val="3"/>
        <w:pageBreakBefore w:val="0"/>
        <w:widowControl/>
        <w:kinsoku/>
        <w:wordWrap/>
        <w:overflowPunct/>
        <w:topLinePunct w:val="0"/>
        <w:autoSpaceDE/>
        <w:autoSpaceDN/>
        <w:bidi w:val="0"/>
        <w:adjustRightInd/>
        <w:snapToGrid/>
        <w:ind w:firstLine="480" w:firstLineChars="200"/>
        <w:textAlignment w:val="auto"/>
      </w:pPr>
      <w:r>
        <w:t>同一政策常存在PDF版、Word版、注释版、重复上传版等多个副本，检索时噪声大，影响查阅效率。</w:t>
      </w:r>
    </w:p>
    <w:p w14:paraId="5F2DE998">
      <w:pPr>
        <w:pStyle w:val="3"/>
        <w:pageBreakBefore w:val="0"/>
        <w:widowControl/>
        <w:kinsoku/>
        <w:wordWrap/>
        <w:overflowPunct/>
        <w:topLinePunct w:val="0"/>
        <w:autoSpaceDE/>
        <w:autoSpaceDN/>
        <w:bidi w:val="0"/>
        <w:adjustRightInd/>
        <w:snapToGrid/>
        <w:ind w:firstLine="480" w:firstLineChars="200"/>
        <w:textAlignment w:val="auto"/>
      </w:pPr>
      <w:r>
        <w:rPr>
          <w:b/>
        </w:rPr>
        <w:t>（三）层级交叉带来引用风险</w:t>
      </w:r>
    </w:p>
    <w:p w14:paraId="4F08B6F5">
      <w:pPr>
        <w:pStyle w:val="3"/>
        <w:pageBreakBefore w:val="0"/>
        <w:widowControl/>
        <w:kinsoku/>
        <w:wordWrap/>
        <w:overflowPunct/>
        <w:topLinePunct w:val="0"/>
        <w:autoSpaceDE/>
        <w:autoSpaceDN/>
        <w:bidi w:val="0"/>
        <w:adjustRightInd/>
        <w:snapToGrid/>
        <w:ind w:firstLine="480" w:firstLineChars="200"/>
        <w:textAlignment w:val="auto"/>
      </w:pPr>
      <w:r>
        <w:t>石家庄市办法多处规定“药品目录、诊疗项目目录、医疗服务设施范围按省有关规定执行”，省、市两级政策必须配套引用，单看市级文件无法得出完整结论。</w:t>
      </w:r>
    </w:p>
    <w:p w14:paraId="7F20EA97">
      <w:pPr>
        <w:pStyle w:val="3"/>
        <w:pageBreakBefore w:val="0"/>
        <w:widowControl/>
        <w:kinsoku/>
        <w:wordWrap/>
        <w:overflowPunct/>
        <w:topLinePunct w:val="0"/>
        <w:autoSpaceDE/>
        <w:autoSpaceDN/>
        <w:bidi w:val="0"/>
        <w:adjustRightInd/>
        <w:snapToGrid/>
        <w:ind w:firstLine="480" w:firstLineChars="200"/>
        <w:textAlignment w:val="auto"/>
      </w:pPr>
      <w:r>
        <w:rPr>
          <w:b/>
        </w:rPr>
        <w:t>（四）政策更新缺乏机制保障</w:t>
      </w:r>
    </w:p>
    <w:p w14:paraId="422E1D48">
      <w:pPr>
        <w:pStyle w:val="3"/>
        <w:pageBreakBefore w:val="0"/>
        <w:widowControl/>
        <w:kinsoku/>
        <w:wordWrap/>
        <w:overflowPunct/>
        <w:topLinePunct w:val="0"/>
        <w:autoSpaceDE/>
        <w:autoSpaceDN/>
        <w:bidi w:val="0"/>
        <w:adjustRightInd/>
        <w:snapToGrid/>
        <w:ind w:firstLine="480" w:firstLineChars="200"/>
        <w:textAlignment w:val="auto"/>
      </w:pPr>
      <w:r>
        <w:t>58号令、冀财采〔2025〕12号等新规已施行，若不定期巡检补充，知识库很快会出现时效缺口。</w:t>
      </w:r>
    </w:p>
    <w:p w14:paraId="36367924">
      <w:pPr>
        <w:pStyle w:val="3"/>
        <w:pageBreakBefore w:val="0"/>
        <w:widowControl/>
        <w:kinsoku/>
        <w:wordWrap/>
        <w:overflowPunct/>
        <w:topLinePunct w:val="0"/>
        <w:autoSpaceDE/>
        <w:autoSpaceDN/>
        <w:bidi w:val="0"/>
        <w:adjustRightInd/>
        <w:snapToGrid/>
        <w:ind w:firstLine="480" w:firstLineChars="200"/>
        <w:textAlignment w:val="auto"/>
      </w:pPr>
      <w:r>
        <w:rPr>
          <w:b/>
        </w:rPr>
        <w:t>（五）数据管</w:t>
      </w:r>
      <w:r>
        <w:rPr>
          <w:rFonts w:hint="eastAsia" w:eastAsia="宋体"/>
          <w:b/>
          <w:lang w:val="en-US" w:eastAsia="zh-CN"/>
        </w:rPr>
        <w:t xml:space="preserve"> </w:t>
      </w:r>
      <w:r>
        <w:rPr>
          <w:b/>
        </w:rPr>
        <w:t>理规范仍待落地</w:t>
      </w:r>
    </w:p>
    <w:p w14:paraId="3ECCFE20">
      <w:pPr>
        <w:pStyle w:val="3"/>
        <w:pageBreakBefore w:val="0"/>
        <w:widowControl/>
        <w:kinsoku/>
        <w:wordWrap/>
        <w:overflowPunct/>
        <w:topLinePunct w:val="0"/>
        <w:autoSpaceDE/>
        <w:autoSpaceDN/>
        <w:bidi w:val="0"/>
        <w:adjustRightInd/>
        <w:snapToGrid/>
        <w:ind w:firstLine="480" w:firstLineChars="200"/>
        <w:textAlignment w:val="auto"/>
      </w:pPr>
      <w:r>
        <w:t>实践方案中“依托企业现有考勤、台账模板，完善数据管理规范”的任务，在知识库层面已通过字段标准化（标题、标签、层级、格式）初步实现，但企业业务台账层面的规范还需与企业共同细化。</w:t>
      </w:r>
    </w:p>
    <w:p w14:paraId="2866827D">
      <w:pPr>
        <w:pStyle w:val="4"/>
        <w:pageBreakBefore w:val="0"/>
        <w:widowControl/>
        <w:kinsoku/>
        <w:wordWrap/>
        <w:overflowPunct/>
        <w:topLinePunct w:val="0"/>
        <w:autoSpaceDE/>
        <w:autoSpaceDN/>
        <w:bidi w:val="0"/>
        <w:adjustRightInd/>
        <w:snapToGrid/>
        <w:ind w:firstLine="643" w:firstLineChars="200"/>
        <w:textAlignment w:val="auto"/>
      </w:pPr>
      <w:bookmarkStart w:id="7" w:name="六对策建议"/>
      <w:r>
        <w:t>六、对策建议</w:t>
      </w:r>
      <w:bookmarkEnd w:id="7"/>
    </w:p>
    <w:p w14:paraId="76DD100D">
      <w:pPr>
        <w:pStyle w:val="23"/>
        <w:pageBreakBefore w:val="0"/>
        <w:widowControl/>
        <w:kinsoku/>
        <w:wordWrap/>
        <w:overflowPunct/>
        <w:topLinePunct w:val="0"/>
        <w:autoSpaceDE/>
        <w:autoSpaceDN/>
        <w:bidi w:val="0"/>
        <w:adjustRightInd/>
        <w:snapToGrid/>
        <w:ind w:firstLine="480" w:firstLineChars="200"/>
        <w:textAlignment w:val="auto"/>
      </w:pPr>
      <w:r>
        <w:rPr>
          <w:b/>
        </w:rPr>
        <w:t>一是建立政策生命周期标识。</w:t>
      </w:r>
      <w:r>
        <w:t xml:space="preserve"> 为每篇文档增加“施行中／已废止／有效期至某年某月”状态字段，废止文件保留但明确标注，避免误用。</w:t>
      </w:r>
    </w:p>
    <w:p w14:paraId="6322A1BC">
      <w:pPr>
        <w:pStyle w:val="3"/>
        <w:pageBreakBefore w:val="0"/>
        <w:widowControl/>
        <w:kinsoku/>
        <w:wordWrap/>
        <w:overflowPunct/>
        <w:topLinePunct w:val="0"/>
        <w:autoSpaceDE/>
        <w:autoSpaceDN/>
        <w:bidi w:val="0"/>
        <w:adjustRightInd/>
        <w:snapToGrid/>
        <w:ind w:firstLine="480" w:firstLineChars="200"/>
        <w:textAlignment w:val="auto"/>
      </w:pPr>
      <w:r>
        <w:rPr>
          <w:b/>
        </w:rPr>
        <w:t>二是实施版本去重与主版本认定。</w:t>
      </w:r>
      <w:r>
        <w:t xml:space="preserve"> 同一文号只保留一个主版本，其余标注为副本并关联主版本，检索结果默认只显示主版本。</w:t>
      </w:r>
    </w:p>
    <w:p w14:paraId="76A26AB7">
      <w:pPr>
        <w:pStyle w:val="3"/>
        <w:pageBreakBefore w:val="0"/>
        <w:widowControl/>
        <w:kinsoku/>
        <w:wordWrap/>
        <w:overflowPunct/>
        <w:topLinePunct w:val="0"/>
        <w:autoSpaceDE/>
        <w:autoSpaceDN/>
        <w:bidi w:val="0"/>
        <w:adjustRightInd/>
        <w:snapToGrid/>
        <w:ind w:firstLine="480" w:firstLineChars="200"/>
        <w:textAlignment w:val="auto"/>
      </w:pPr>
      <w:r>
        <w:rPr>
          <w:b/>
        </w:rPr>
        <w:t>三是建立上位依据与下位细则的交叉引用。</w:t>
      </w:r>
      <w:r>
        <w:t xml:space="preserve"> 在市级文件条目中标注所依据的省级、国家级文件，形成政策链条。</w:t>
      </w:r>
    </w:p>
    <w:p w14:paraId="66743EE4">
      <w:pPr>
        <w:pStyle w:val="3"/>
        <w:pageBreakBefore w:val="0"/>
        <w:widowControl/>
        <w:kinsoku/>
        <w:wordWrap/>
        <w:overflowPunct/>
        <w:topLinePunct w:val="0"/>
        <w:autoSpaceDE/>
        <w:autoSpaceDN/>
        <w:bidi w:val="0"/>
        <w:adjustRightInd/>
        <w:snapToGrid/>
        <w:ind w:firstLine="480" w:firstLineChars="200"/>
        <w:textAlignment w:val="auto"/>
      </w:pPr>
      <w:r>
        <w:rPr>
          <w:b/>
        </w:rPr>
        <w:t>四是建立常态化更新机制。</w:t>
      </w:r>
      <w:r>
        <w:t xml:space="preserve"> 建议由企业指定专人、按季度巡检，重点跟踪国家税务总局、河北省财政厅、河北省医保局、石家庄市医保局等发布口径；学院方面可安排下学期实践学生接续维护，形成校企合作长效机制。</w:t>
      </w:r>
    </w:p>
    <w:p w14:paraId="14AF1A91">
      <w:pPr>
        <w:pStyle w:val="3"/>
        <w:pageBreakBefore w:val="0"/>
        <w:widowControl/>
        <w:kinsoku/>
        <w:wordWrap/>
        <w:overflowPunct/>
        <w:topLinePunct w:val="0"/>
        <w:autoSpaceDE/>
        <w:autoSpaceDN/>
        <w:bidi w:val="0"/>
        <w:adjustRightInd/>
        <w:snapToGrid/>
        <w:ind w:firstLine="480" w:firstLineChars="200"/>
        <w:textAlignment w:val="auto"/>
      </w:pPr>
      <w:r>
        <w:rPr>
          <w:b/>
        </w:rPr>
        <w:t>五是推行三要素检索规范。</w:t>
      </w:r>
      <w:r>
        <w:t xml:space="preserve"> 引导使用者按“业务领域＋层级＋文档形态”描述需求，如“石家庄市 职工医保住院 政策原文”，可显著提升检索命中率。</w:t>
      </w:r>
    </w:p>
    <w:p w14:paraId="78D39F01">
      <w:pPr>
        <w:pStyle w:val="3"/>
        <w:pageBreakBefore w:val="0"/>
        <w:widowControl/>
        <w:kinsoku/>
        <w:wordWrap/>
        <w:overflowPunct/>
        <w:topLinePunct w:val="0"/>
        <w:autoSpaceDE/>
        <w:autoSpaceDN/>
        <w:bidi w:val="0"/>
        <w:adjustRightInd/>
        <w:snapToGrid/>
        <w:ind w:firstLine="480" w:firstLineChars="200"/>
        <w:textAlignment w:val="auto"/>
      </w:pPr>
      <w:r>
        <w:rPr>
          <w:b/>
        </w:rPr>
        <w:t xml:space="preserve">六是绑定业务场景打包。" </w:t>
      </w:r>
      <w:r>
        <w:t xml:space="preserve"> 围绕代理记账、涉税服务、企业管家三条业务线，分别形成“小规模纳税人优惠包”“医保待遇测算包”“政府采购合规包”“农村集体财务包”等场景化政策包，把知识库从“文件仓库”升级为“作业支撑系统”。</w:t>
      </w:r>
    </w:p>
    <w:p w14:paraId="0BDD0715">
      <w:pPr>
        <w:pStyle w:val="4"/>
        <w:pageBreakBefore w:val="0"/>
        <w:widowControl/>
        <w:kinsoku/>
        <w:wordWrap/>
        <w:overflowPunct/>
        <w:topLinePunct w:val="0"/>
        <w:autoSpaceDE/>
        <w:autoSpaceDN/>
        <w:bidi w:val="0"/>
        <w:adjustRightInd/>
        <w:snapToGrid/>
        <w:ind w:firstLine="643" w:firstLineChars="200"/>
        <w:textAlignment w:val="auto"/>
      </w:pPr>
      <w:bookmarkStart w:id="8" w:name="七对教学与实践的反哺价值"/>
      <w:r>
        <w:t>七、对教学与实践的反哺价值</w:t>
      </w:r>
      <w:bookmarkEnd w:id="8"/>
    </w:p>
    <w:p w14:paraId="45DCF848">
      <w:pPr>
        <w:pStyle w:val="23"/>
        <w:pageBreakBefore w:val="0"/>
        <w:widowControl/>
        <w:kinsoku/>
        <w:wordWrap/>
        <w:overflowPunct/>
        <w:topLinePunct w:val="0"/>
        <w:autoSpaceDE/>
        <w:autoSpaceDN/>
        <w:bidi w:val="0"/>
        <w:adjustRightInd/>
        <w:snapToGrid/>
        <w:ind w:firstLine="480" w:firstLineChars="200"/>
        <w:textAlignment w:val="auto"/>
      </w:pPr>
      <w:r>
        <w:rPr>
          <w:b/>
        </w:rPr>
        <w:t>课程资源转化方面，</w:t>
      </w:r>
      <w:r>
        <w:t xml:space="preserve"> 651篇真实政策文件可直接转化为案例素材：职工医保三版待遇比对可用于《社会保险》课程的待遇测算实训；小规模纳税人免税与减征判断可用于《税费计算与申报》课程；政府采购评审专家七类不良行为、代理机构八项检查内容可用于《财经法规与职业道德》课程的合规教育；经济责任审计的直接责任与领导责任划分可用于《审计实务》课程。</w:t>
      </w:r>
    </w:p>
    <w:p w14:paraId="4BC3CCA5">
      <w:pPr>
        <w:pStyle w:val="3"/>
        <w:pageBreakBefore w:val="0"/>
        <w:widowControl/>
        <w:kinsoku/>
        <w:wordWrap/>
        <w:overflowPunct/>
        <w:topLinePunct w:val="0"/>
        <w:autoSpaceDE/>
        <w:autoSpaceDN/>
        <w:bidi w:val="0"/>
        <w:adjustRightInd/>
        <w:snapToGrid/>
        <w:ind w:firstLine="480" w:firstLineChars="200"/>
        <w:textAlignment w:val="auto"/>
      </w:pPr>
      <w:r>
        <w:rPr>
          <w:b/>
        </w:rPr>
        <w:t>实训项目开发方面，</w:t>
      </w:r>
      <w:r>
        <w:t xml:space="preserve"> 本次建立的标签体系本身即可作为一项综合实训任务：让学生分组完成政策检索、版本比对、标签标注、场景包组装，训练“检索—判断—归档—复用”的完整职业能力链条。</w:t>
      </w:r>
    </w:p>
    <w:p w14:paraId="4C55274F">
      <w:pPr>
        <w:pStyle w:val="3"/>
        <w:pageBreakBefore w:val="0"/>
        <w:widowControl/>
        <w:kinsoku/>
        <w:wordWrap/>
        <w:overflowPunct/>
        <w:topLinePunct w:val="0"/>
        <w:autoSpaceDE/>
        <w:autoSpaceDN/>
        <w:bidi w:val="0"/>
        <w:adjustRightInd/>
        <w:snapToGrid/>
        <w:ind w:firstLine="480" w:firstLineChars="200"/>
        <w:textAlignment w:val="auto"/>
      </w:pPr>
      <w:r>
        <w:rPr>
          <w:b/>
        </w:rPr>
        <w:t>教材与教改方面，</w:t>
      </w:r>
      <w:r>
        <w:t xml:space="preserve"> 58号令、冀财采〔2025〕12号、第3204号内部审计实务指南等内容均为近年新规，教材更新滞后，建议以活页式、工作手册式教材形式纳入。</w:t>
      </w:r>
    </w:p>
    <w:p w14:paraId="1B3F0EE1">
      <w:pPr>
        <w:pStyle w:val="3"/>
        <w:pageBreakBefore w:val="0"/>
        <w:widowControl/>
        <w:kinsoku/>
        <w:wordWrap/>
        <w:overflowPunct/>
        <w:topLinePunct w:val="0"/>
        <w:autoSpaceDE/>
        <w:autoSpaceDN/>
        <w:bidi w:val="0"/>
        <w:adjustRightInd/>
        <w:snapToGrid/>
        <w:ind w:firstLine="480" w:firstLineChars="200"/>
        <w:textAlignment w:val="auto"/>
      </w:pPr>
      <w:r>
        <w:rPr>
          <w:b/>
        </w:rPr>
        <w:t>校企协同方面，</w:t>
      </w:r>
      <w:r>
        <w:t xml:space="preserve"> 本次实践与同期协作的新道科技（数智财务应用）、河北云匙科技（ERP项目实施）形成互补：政策知识库解决“知道怎么做”，数智财务与ERP解决“在系统里怎么做”，三者结合可构建“政策＋流程＋系统”的复合型人才培养链，也为后续横向课题、社会培训、学生实习就业拓展了空间。</w:t>
      </w:r>
    </w:p>
    <w:p w14:paraId="51391FA3">
      <w:pPr>
        <w:pStyle w:val="4"/>
        <w:pageBreakBefore w:val="0"/>
        <w:widowControl/>
        <w:kinsoku/>
        <w:wordWrap/>
        <w:overflowPunct/>
        <w:topLinePunct w:val="0"/>
        <w:autoSpaceDE/>
        <w:autoSpaceDN/>
        <w:bidi w:val="0"/>
        <w:adjustRightInd/>
        <w:snapToGrid/>
        <w:ind w:firstLine="643" w:firstLineChars="200"/>
        <w:textAlignment w:val="auto"/>
      </w:pPr>
      <w:bookmarkStart w:id="9" w:name="八调研结论"/>
      <w:r>
        <w:t>八、调研结论</w:t>
      </w:r>
      <w:bookmarkEnd w:id="9"/>
    </w:p>
    <w:p w14:paraId="09014DD2">
      <w:pPr>
        <w:pStyle w:val="23"/>
        <w:pageBreakBefore w:val="0"/>
        <w:widowControl/>
        <w:kinsoku/>
        <w:wordWrap/>
        <w:overflowPunct/>
        <w:topLinePunct w:val="0"/>
        <w:autoSpaceDE/>
        <w:autoSpaceDN/>
        <w:bidi w:val="0"/>
        <w:adjustRightInd/>
        <w:snapToGrid/>
        <w:ind w:firstLine="480" w:firstLineChars="200"/>
        <w:textAlignment w:val="auto"/>
      </w:pPr>
      <w:r>
        <w:t>本次暑期企业实践紧扣实践方案确定的任务，完成河北企富财税管理有限公司财税法律法规知识库从无到有的搭建：归集文档651篇，建立12个一级领域、80余个二级标签的分类体系，实现“二级标签＋层级标签＋格式辅助”三维度结构化标注。知识库已基本覆盖医疗保障、涉税专业服务与办税规范、政府采购与招投标、会计与审计、预算绩效与财政管理、农村集体与基层财务、党建纪检七大板块，能够支撑企业人员快速查阅、合规办税、规避风险的核心诉求。</w:t>
      </w:r>
    </w:p>
    <w:p w14:paraId="150EAB17">
      <w:pPr>
        <w:pStyle w:val="3"/>
        <w:pageBreakBefore w:val="0"/>
        <w:widowControl/>
        <w:kinsoku/>
        <w:wordWrap/>
        <w:overflowPunct/>
        <w:topLinePunct w:val="0"/>
        <w:autoSpaceDE/>
        <w:autoSpaceDN/>
        <w:bidi w:val="0"/>
        <w:adjustRightInd/>
        <w:snapToGrid/>
        <w:ind w:firstLine="480" w:firstLineChars="200"/>
        <w:textAlignment w:val="auto"/>
      </w:pPr>
      <w:r>
        <w:t>调研同时表明，知识库的价值不在“存了多少”，而在“能不能被准确、及时地用起来”。后续需重点补齐版本管理、更新机制、场景化打包三项能力，并通过校企接续维护机制保持其时效性。对企业而言，这是一套合规基础设施；对教学而言，这是一批真实、鲜活、可反复使用的教学资源；对教师个人而言，全程参与政策梳理、结构化标注与场景转化，使自身的政策应用能力与实务教学能力得到实质性提升。</w:t>
      </w:r>
    </w:p>
    <w:p w14:paraId="75824641">
      <w:pPr>
        <w:pStyle w:val="3"/>
        <w:pageBreakBefore w:val="0"/>
        <w:widowControl/>
        <w:kinsoku/>
        <w:wordWrap/>
        <w:overflowPunct/>
        <w:topLinePunct w:val="0"/>
        <w:autoSpaceDE/>
        <w:autoSpaceDN/>
        <w:bidi w:val="0"/>
        <w:adjustRightInd/>
        <w:snapToGrid/>
        <w:ind w:firstLine="480" w:firstLineChars="200"/>
        <w:textAlignment w:val="auto"/>
      </w:pPr>
      <w:r>
        <w:rPr>
          <w:b/>
        </w:rPr>
        <w:t>实践过程图片、影像等佐证资料另附。</w:t>
      </w:r>
    </w:p>
    <w:p w14:paraId="102E56FC">
      <w:pPr>
        <w:pStyle w:val="23"/>
        <w:pageBreakBefore w:val="0"/>
        <w:widowControl/>
        <w:kinsoku/>
        <w:wordWrap/>
        <w:overflowPunct/>
        <w:topLinePunct w:val="0"/>
        <w:autoSpaceDE/>
        <w:autoSpaceDN/>
        <w:bidi w:val="0"/>
        <w:adjustRightInd/>
        <w:snapToGrid/>
        <w:ind w:firstLine="480" w:firstLineChars="200"/>
        <w:jc w:val="right"/>
        <w:textAlignment w:val="auto"/>
      </w:pPr>
      <w:r>
        <w:t xml:space="preserve">报告人：薛辉 </w:t>
      </w:r>
    </w:p>
    <w:p w14:paraId="5052F835">
      <w:pPr>
        <w:pStyle w:val="23"/>
        <w:pageBreakBefore w:val="0"/>
        <w:widowControl/>
        <w:kinsoku/>
        <w:wordWrap/>
        <w:overflowPunct/>
        <w:topLinePunct w:val="0"/>
        <w:autoSpaceDE/>
        <w:autoSpaceDN/>
        <w:bidi w:val="0"/>
        <w:adjustRightInd/>
        <w:snapToGrid/>
        <w:ind w:firstLine="480" w:firstLineChars="200"/>
        <w:jc w:val="right"/>
        <w:textAlignment w:val="auto"/>
      </w:pPr>
      <w:r>
        <w:t>2026年9月3日</w:t>
      </w:r>
    </w:p>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590D07"/>
    <w:rsid w:val="00011C8B"/>
    <w:rsid w:val="004E29B3"/>
    <w:rsid w:val="00590D07"/>
    <w:rsid w:val="00784D58"/>
    <w:rsid w:val="008D6863"/>
    <w:rsid w:val="00B86B75"/>
    <w:rsid w:val="00BC48D5"/>
    <w:rsid w:val="00C36279"/>
    <w:rsid w:val="00E315A3"/>
    <w:rsid w:val="075B065A"/>
    <w:rsid w:val="6E8C48EB"/>
  </w:rsids>
  <m:mathPr>
    <m:mathFont m:val="Lucida Grande"/>
    <m:brkBin m:val="before"/>
    <m:brkBinSub m:val="--"/>
    <m:smallFrac m:val="0"/>
    <m:dispDef m:val="0"/>
    <m:lMargin m:val="0"/>
    <m:rMargin m:val="0"/>
    <m:defJc m:val="centerGroup"/>
    <m:wrapRight m:val="1"/>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335B8A" w:themeColor="accent1" w:themeShade="B5"/>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32"/>
      <w:szCs w:val="32"/>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8"/>
      <w:szCs w:val="28"/>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
      <w:bCs/>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firstLine="0"/>
    </w:pPr>
    <w:rPr>
      <w:rFonts w:asciiTheme="majorHAnsi" w:hAnsiTheme="majorHAnsi" w:eastAsiaTheme="majorEastAsia" w:cstheme="majorBidi"/>
      <w:bCs/>
      <w:sz w:val="20"/>
      <w:szCs w:val="20"/>
    </w:r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w:basedOn w:val="1"/>
    <w:next w:val="3"/>
    <w:qFormat/>
    <w:uiPriority w:val="0"/>
    <w:pPr>
      <w:keepNext/>
      <w:keepLines/>
      <w:spacing w:before="300" w:after="300"/>
    </w:pPr>
    <w:rPr>
      <w:sz w:val="20"/>
      <w:szCs w:val="20"/>
    </w:rPr>
  </w:style>
  <w:style w:type="paragraph" w:customStyle="1" w:styleId="27">
    <w:name w:val="Bibliography"/>
    <w:basedOn w:val="1"/>
    <w:qFormat/>
    <w:uiPriority w:val="0"/>
  </w:style>
  <w:style w:type="table" w:customStyle="1" w:styleId="28">
    <w:name w:val="Table"/>
    <w:semiHidden/>
    <w:unhideWhenUsed/>
    <w:qFormat/>
    <w:uiPriority w:val="0"/>
    <w:tblPr>
      <w:tblCellMar>
        <w:top w:w="0" w:type="dxa"/>
        <w:left w:w="108" w:type="dxa"/>
        <w:bottom w:w="0" w:type="dxa"/>
        <w:right w:w="108" w:type="dxa"/>
      </w:tblCellMar>
    </w:tblPr>
  </w:style>
  <w:style w:type="paragraph" w:customStyle="1" w:styleId="29">
    <w:name w:val="Definition Term"/>
    <w:basedOn w:val="1"/>
    <w:next w:val="30"/>
    <w:uiPriority w:val="0"/>
    <w:pPr>
      <w:keepNext/>
      <w:keepLines/>
      <w:spacing w:after="0"/>
    </w:pPr>
    <w:rPr>
      <w:b/>
    </w:rPr>
  </w:style>
  <w:style w:type="paragraph" w:customStyle="1" w:styleId="30">
    <w:name w:val="Definition"/>
    <w:basedOn w:val="1"/>
    <w:qFormat/>
    <w:uiPriority w:val="0"/>
  </w:style>
  <w:style w:type="paragraph" w:customStyle="1" w:styleId="31">
    <w:name w:val="Table Caption"/>
    <w:basedOn w:val="12"/>
    <w:uiPriority w:val="0"/>
    <w:pPr>
      <w:keepNext/>
    </w:pPr>
  </w:style>
  <w:style w:type="paragraph" w:customStyle="1" w:styleId="32">
    <w:name w:val="Image Caption"/>
    <w:basedOn w:val="12"/>
    <w:qFormat/>
    <w:uiPriority w:val="0"/>
  </w:style>
  <w:style w:type="paragraph" w:customStyle="1" w:styleId="33">
    <w:name w:val="Figure"/>
    <w:basedOn w:val="1"/>
    <w:qFormat/>
    <w:uiPriority w:val="0"/>
  </w:style>
  <w:style w:type="paragraph" w:customStyle="1" w:styleId="34">
    <w:name w:val="Captioned Figure"/>
    <w:basedOn w:val="33"/>
    <w:qFormat/>
    <w:uiPriority w:val="0"/>
    <w:pPr>
      <w:keepNext/>
    </w:pPr>
  </w:style>
  <w:style w:type="character" w:customStyle="1" w:styleId="35">
    <w:name w:val="Verbatim Char"/>
    <w:basedOn w:val="21"/>
    <w:link w:val="36"/>
    <w:qFormat/>
    <w:uiPriority w:val="0"/>
    <w:rPr>
      <w:rFonts w:ascii="Consolas" w:hAnsi="Consolas"/>
      <w:sz w:val="22"/>
    </w:rPr>
  </w:style>
  <w:style w:type="paragraph" w:customStyle="1" w:styleId="36">
    <w:name w:val="Source Code"/>
    <w:basedOn w:val="1"/>
    <w:link w:val="35"/>
    <w:qFormat/>
    <w:uiPriority w:val="0"/>
    <w:pPr>
      <w:wordWrap w:val="0"/>
    </w:pPr>
  </w:style>
  <w:style w:type="paragraph" w:customStyle="1" w:styleId="37">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38">
    <w:name w:val="KeywordTok"/>
    <w:basedOn w:val="35"/>
    <w:qFormat/>
    <w:uiPriority w:val="0"/>
    <w:rPr>
      <w:b/>
      <w:color w:val="007020"/>
    </w:rPr>
  </w:style>
  <w:style w:type="character" w:customStyle="1" w:styleId="39">
    <w:name w:val="DataTypeTok"/>
    <w:basedOn w:val="35"/>
    <w:qFormat/>
    <w:uiPriority w:val="0"/>
    <w:rPr>
      <w:color w:val="902000"/>
    </w:rPr>
  </w:style>
  <w:style w:type="character" w:customStyle="1" w:styleId="40">
    <w:name w:val="DecValTok"/>
    <w:basedOn w:val="35"/>
    <w:qFormat/>
    <w:uiPriority w:val="0"/>
    <w:rPr>
      <w:color w:val="40A070"/>
    </w:rPr>
  </w:style>
  <w:style w:type="character" w:customStyle="1" w:styleId="41">
    <w:name w:val="BaseNTok"/>
    <w:basedOn w:val="35"/>
    <w:qFormat/>
    <w:uiPriority w:val="0"/>
    <w:rPr>
      <w:color w:val="40A070"/>
    </w:rPr>
  </w:style>
  <w:style w:type="character" w:customStyle="1" w:styleId="42">
    <w:name w:val="FloatTok"/>
    <w:basedOn w:val="35"/>
    <w:qFormat/>
    <w:uiPriority w:val="0"/>
    <w:rPr>
      <w:color w:val="40A070"/>
    </w:rPr>
  </w:style>
  <w:style w:type="character" w:customStyle="1" w:styleId="43">
    <w:name w:val="ConstantTok"/>
    <w:basedOn w:val="35"/>
    <w:qFormat/>
    <w:uiPriority w:val="0"/>
    <w:rPr>
      <w:color w:val="880000"/>
    </w:rPr>
  </w:style>
  <w:style w:type="character" w:customStyle="1" w:styleId="44">
    <w:name w:val="CharTok"/>
    <w:basedOn w:val="35"/>
    <w:qFormat/>
    <w:uiPriority w:val="0"/>
    <w:rPr>
      <w:color w:val="4070A0"/>
    </w:rPr>
  </w:style>
  <w:style w:type="character" w:customStyle="1" w:styleId="45">
    <w:name w:val="SpecialCharTok"/>
    <w:basedOn w:val="35"/>
    <w:qFormat/>
    <w:uiPriority w:val="0"/>
    <w:rPr>
      <w:color w:val="4070A0"/>
    </w:rPr>
  </w:style>
  <w:style w:type="character" w:customStyle="1" w:styleId="46">
    <w:name w:val="StringTok"/>
    <w:basedOn w:val="35"/>
    <w:qFormat/>
    <w:uiPriority w:val="0"/>
    <w:rPr>
      <w:color w:val="4070A0"/>
    </w:rPr>
  </w:style>
  <w:style w:type="character" w:customStyle="1" w:styleId="47">
    <w:name w:val="VerbatimStringTok"/>
    <w:basedOn w:val="35"/>
    <w:qFormat/>
    <w:uiPriority w:val="0"/>
    <w:rPr>
      <w:color w:val="4070A0"/>
    </w:rPr>
  </w:style>
  <w:style w:type="character" w:customStyle="1" w:styleId="48">
    <w:name w:val="SpecialStringTok"/>
    <w:basedOn w:val="35"/>
    <w:qFormat/>
    <w:uiPriority w:val="0"/>
    <w:rPr>
      <w:color w:val="BB6688"/>
    </w:rPr>
  </w:style>
  <w:style w:type="character" w:customStyle="1" w:styleId="49">
    <w:name w:val="ImportTok"/>
    <w:basedOn w:val="35"/>
    <w:qFormat/>
    <w:uiPriority w:val="0"/>
  </w:style>
  <w:style w:type="character" w:customStyle="1" w:styleId="50">
    <w:name w:val="CommentTok"/>
    <w:basedOn w:val="35"/>
    <w:qFormat/>
    <w:uiPriority w:val="0"/>
    <w:rPr>
      <w:i/>
      <w:color w:val="60A0B0"/>
    </w:rPr>
  </w:style>
  <w:style w:type="character" w:customStyle="1" w:styleId="51">
    <w:name w:val="DocumentationTok"/>
    <w:basedOn w:val="35"/>
    <w:qFormat/>
    <w:uiPriority w:val="0"/>
    <w:rPr>
      <w:i/>
      <w:color w:val="BA2121"/>
    </w:rPr>
  </w:style>
  <w:style w:type="character" w:customStyle="1" w:styleId="52">
    <w:name w:val="AnnotationTok"/>
    <w:basedOn w:val="35"/>
    <w:qFormat/>
    <w:uiPriority w:val="0"/>
    <w:rPr>
      <w:b/>
      <w:i/>
      <w:color w:val="60A0B0"/>
    </w:rPr>
  </w:style>
  <w:style w:type="character" w:customStyle="1" w:styleId="53">
    <w:name w:val="CommentVarTok"/>
    <w:basedOn w:val="35"/>
    <w:qFormat/>
    <w:uiPriority w:val="0"/>
    <w:rPr>
      <w:b/>
      <w:i/>
      <w:color w:val="60A0B0"/>
    </w:rPr>
  </w:style>
  <w:style w:type="character" w:customStyle="1" w:styleId="54">
    <w:name w:val="OtherTok"/>
    <w:basedOn w:val="35"/>
    <w:qFormat/>
    <w:uiPriority w:val="0"/>
    <w:rPr>
      <w:color w:val="007020"/>
    </w:rPr>
  </w:style>
  <w:style w:type="character" w:customStyle="1" w:styleId="55">
    <w:name w:val="FunctionTok"/>
    <w:basedOn w:val="35"/>
    <w:qFormat/>
    <w:uiPriority w:val="0"/>
    <w:rPr>
      <w:color w:val="06287E"/>
    </w:rPr>
  </w:style>
  <w:style w:type="character" w:customStyle="1" w:styleId="56">
    <w:name w:val="VariableTok"/>
    <w:basedOn w:val="35"/>
    <w:qFormat/>
    <w:uiPriority w:val="0"/>
    <w:rPr>
      <w:color w:val="19177C"/>
    </w:rPr>
  </w:style>
  <w:style w:type="character" w:customStyle="1" w:styleId="57">
    <w:name w:val="ControlFlowTok"/>
    <w:basedOn w:val="35"/>
    <w:qFormat/>
    <w:uiPriority w:val="0"/>
    <w:rPr>
      <w:b/>
      <w:color w:val="007020"/>
    </w:rPr>
  </w:style>
  <w:style w:type="character" w:customStyle="1" w:styleId="58">
    <w:name w:val="OperatorTok"/>
    <w:basedOn w:val="35"/>
    <w:qFormat/>
    <w:uiPriority w:val="0"/>
    <w:rPr>
      <w:color w:val="666666"/>
    </w:rPr>
  </w:style>
  <w:style w:type="character" w:customStyle="1" w:styleId="59">
    <w:name w:val="BuiltInTok"/>
    <w:basedOn w:val="35"/>
    <w:qFormat/>
    <w:uiPriority w:val="0"/>
  </w:style>
  <w:style w:type="character" w:customStyle="1" w:styleId="60">
    <w:name w:val="ExtensionTok"/>
    <w:basedOn w:val="35"/>
    <w:uiPriority w:val="0"/>
  </w:style>
  <w:style w:type="character" w:customStyle="1" w:styleId="61">
    <w:name w:val="PreprocessorTok"/>
    <w:basedOn w:val="35"/>
    <w:uiPriority w:val="0"/>
    <w:rPr>
      <w:color w:val="BC7A00"/>
    </w:rPr>
  </w:style>
  <w:style w:type="character" w:customStyle="1" w:styleId="62">
    <w:name w:val="AttributeTok"/>
    <w:basedOn w:val="35"/>
    <w:uiPriority w:val="0"/>
    <w:rPr>
      <w:color w:val="7D9029"/>
    </w:rPr>
  </w:style>
  <w:style w:type="character" w:customStyle="1" w:styleId="63">
    <w:name w:val="RegionMarkerTok"/>
    <w:basedOn w:val="35"/>
    <w:uiPriority w:val="0"/>
  </w:style>
  <w:style w:type="character" w:customStyle="1" w:styleId="64">
    <w:name w:val="InformationTok"/>
    <w:basedOn w:val="35"/>
    <w:uiPriority w:val="0"/>
    <w:rPr>
      <w:b/>
      <w:i/>
      <w:color w:val="60A0B0"/>
    </w:rPr>
  </w:style>
  <w:style w:type="character" w:customStyle="1" w:styleId="65">
    <w:name w:val="WarningTok"/>
    <w:basedOn w:val="35"/>
    <w:uiPriority w:val="0"/>
    <w:rPr>
      <w:b/>
      <w:i/>
      <w:color w:val="60A0B0"/>
    </w:rPr>
  </w:style>
  <w:style w:type="character" w:customStyle="1" w:styleId="66">
    <w:name w:val="AlertTok"/>
    <w:basedOn w:val="35"/>
    <w:uiPriority w:val="0"/>
    <w:rPr>
      <w:b/>
      <w:color w:val="FF0000"/>
    </w:rPr>
  </w:style>
  <w:style w:type="character" w:customStyle="1" w:styleId="67">
    <w:name w:val="ErrorTok"/>
    <w:basedOn w:val="35"/>
    <w:uiPriority w:val="0"/>
    <w:rPr>
      <w:b/>
      <w:color w:val="FF0000"/>
    </w:rPr>
  </w:style>
  <w:style w:type="character" w:customStyle="1" w:styleId="68">
    <w:name w:val="NormalTok"/>
    <w:basedOn w:val="35"/>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83</Words>
  <Characters>475</Characters>
  <Lines>12</Lines>
  <Paragraphs>8</Paragraphs>
  <TotalTime>25</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2026-09-03T07:15:00Z</dcterms:created>
  <dc:creator>薛维君</dc:creator>
  <cp:lastModifiedBy>薛维君</cp:lastModifiedBy>
  <dcterms:modified xsi:type="dcterms:W3CDTF">2026-09-03T07:46:46Z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08B60CBD0EC5491C96B4FE4E62F741C2_12</vt:lpwstr>
  </property>
</Properties>
</file>