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9A019">
      <w:pPr>
        <w:ind w:firstLine="1506" w:firstLineChars="500"/>
        <w:rPr>
          <w:rFonts w:hint="eastAsia"/>
          <w:b/>
          <w:bCs/>
          <w:sz w:val="30"/>
          <w:szCs w:val="30"/>
        </w:rPr>
      </w:pPr>
      <w:r>
        <w:rPr>
          <w:rFonts w:hint="eastAsia"/>
          <w:b/>
          <w:bCs/>
          <w:sz w:val="30"/>
          <w:szCs w:val="30"/>
        </w:rPr>
        <w:t>住宿行业税费风险管理手册</w:t>
      </w:r>
    </w:p>
    <w:p w14:paraId="709E65CF">
      <w:pPr>
        <w:numPr>
          <w:ilvl w:val="0"/>
          <w:numId w:val="1"/>
        </w:numPr>
        <w:rPr>
          <w:rFonts w:hint="eastAsia"/>
          <w:sz w:val="28"/>
          <w:szCs w:val="28"/>
        </w:rPr>
      </w:pPr>
      <w:r>
        <w:rPr>
          <w:rFonts w:hint="eastAsia"/>
          <w:sz w:val="28"/>
          <w:szCs w:val="28"/>
          <w:lang w:val="en-US" w:eastAsia="zh-CN"/>
        </w:rPr>
        <w:t>行业概况</w:t>
      </w:r>
    </w:p>
    <w:p w14:paraId="25C32D79">
      <w:pPr>
        <w:numPr>
          <w:ilvl w:val="0"/>
          <w:numId w:val="2"/>
        </w:numPr>
        <w:rPr>
          <w:rFonts w:hint="eastAsia"/>
          <w:sz w:val="24"/>
          <w:szCs w:val="24"/>
        </w:rPr>
      </w:pPr>
      <w:r>
        <w:rPr>
          <w:rFonts w:hint="eastAsia"/>
          <w:sz w:val="24"/>
          <w:szCs w:val="24"/>
        </w:rPr>
        <w:t>行业定义:住宿业增值税征收中属于生活服务业，是指为旅行者和其他临时需要住宿的人提供住宿场所及相关服务的行业。涵盖了多种类型的住宿设施，包括酒店、宾馆、度假村、旅社、民宿等，为客人提供休息、餐饮、娱乐、商务等多种服务，以满足客人在旅行、商务出行、休闲度假等活动行业</w:t>
      </w:r>
      <w:r>
        <w:rPr>
          <w:rFonts w:hint="eastAsia"/>
          <w:sz w:val="24"/>
          <w:szCs w:val="24"/>
        </w:rPr>
        <w:t>中的住宿及其他相关需求</w:t>
      </w:r>
    </w:p>
    <w:p w14:paraId="334677FE">
      <w:pPr>
        <w:numPr>
          <w:ilvl w:val="0"/>
          <w:numId w:val="2"/>
        </w:numPr>
        <w:ind w:left="0" w:leftChars="0" w:firstLine="0" w:firstLineChars="0"/>
        <w:rPr>
          <w:rFonts w:hint="eastAsia"/>
        </w:rPr>
      </w:pPr>
      <w:r>
        <w:rPr>
          <w:rFonts w:hint="eastAsia"/>
          <w:sz w:val="24"/>
          <w:szCs w:val="24"/>
        </w:rPr>
        <w:t>行业特点及问题</w:t>
      </w:r>
      <w:r>
        <w:rPr>
          <w:rFonts w:hint="eastAsia"/>
        </w:rPr>
        <w:t>:</w:t>
      </w:r>
    </w:p>
    <w:p w14:paraId="5ED7AA28">
      <w:pPr>
        <w:numPr>
          <w:ilvl w:val="0"/>
          <w:numId w:val="3"/>
        </w:numPr>
        <w:ind w:leftChars="0"/>
        <w:rPr>
          <w:rFonts w:hint="eastAsia"/>
          <w:sz w:val="24"/>
          <w:szCs w:val="24"/>
        </w:rPr>
      </w:pPr>
      <w:r>
        <w:rPr>
          <w:rFonts w:hint="eastAsia"/>
          <w:sz w:val="24"/>
          <w:szCs w:val="24"/>
        </w:rPr>
        <w:t>服务对象为自然人，人数众多、消费后索要发票比例较少，以开具发票收入申报纳税，不开发票收入不申报成为行业的常态:</w:t>
      </w:r>
    </w:p>
    <w:p w14:paraId="730E53C4">
      <w:pPr>
        <w:numPr>
          <w:ilvl w:val="0"/>
          <w:numId w:val="3"/>
        </w:numPr>
        <w:ind w:left="0" w:leftChars="0" w:firstLine="0" w:firstLineChars="0"/>
        <w:rPr>
          <w:rFonts w:hint="eastAsia"/>
          <w:sz w:val="24"/>
          <w:szCs w:val="24"/>
        </w:rPr>
      </w:pPr>
      <w:r>
        <w:rPr>
          <w:rFonts w:hint="eastAsia"/>
          <w:sz w:val="24"/>
          <w:szCs w:val="24"/>
        </w:rPr>
        <w:t>现金、平台 APP 支付、扫码结算等收款方式渠道多样;</w:t>
      </w:r>
    </w:p>
    <w:p w14:paraId="78CF91FA">
      <w:pPr>
        <w:numPr>
          <w:numId w:val="0"/>
        </w:numPr>
        <w:ind w:leftChars="0"/>
        <w:rPr>
          <w:rFonts w:hint="eastAsia"/>
          <w:sz w:val="24"/>
          <w:szCs w:val="24"/>
        </w:rPr>
      </w:pPr>
      <w:r>
        <w:rPr>
          <w:rFonts w:hint="eastAsia"/>
          <w:sz w:val="24"/>
          <w:szCs w:val="24"/>
        </w:rPr>
        <w:t>(3)成本构成中人工成本所占比例较高，服务增值额较大。</w:t>
      </w:r>
    </w:p>
    <w:p w14:paraId="059A9E0C">
      <w:pPr>
        <w:rPr>
          <w:rFonts w:hint="eastAsia"/>
          <w:sz w:val="28"/>
          <w:szCs w:val="28"/>
          <w:lang w:val="en-US" w:eastAsia="zh-CN"/>
        </w:rPr>
      </w:pPr>
      <w:r>
        <w:rPr>
          <w:rFonts w:hint="eastAsia"/>
          <w:sz w:val="28"/>
          <w:szCs w:val="28"/>
          <w:lang w:val="en-US" w:eastAsia="zh-CN"/>
        </w:rPr>
        <w:t>二、主要风险点</w:t>
      </w:r>
    </w:p>
    <w:p w14:paraId="7DED15BE">
      <w:pPr>
        <w:rPr>
          <w:rFonts w:hint="eastAsia"/>
          <w:sz w:val="24"/>
          <w:szCs w:val="24"/>
        </w:rPr>
      </w:pPr>
      <w:r>
        <w:rPr>
          <w:rFonts w:hint="eastAsia"/>
          <w:sz w:val="24"/>
          <w:szCs w:val="24"/>
        </w:rPr>
        <w:t>1、隐匿销售收入，不开票收入不申报</w:t>
      </w:r>
    </w:p>
    <w:p w14:paraId="60437245">
      <w:pPr>
        <w:rPr>
          <w:rFonts w:hint="eastAsia"/>
          <w:sz w:val="24"/>
          <w:szCs w:val="24"/>
        </w:rPr>
      </w:pPr>
      <w:r>
        <w:rPr>
          <w:rFonts w:hint="eastAsia"/>
          <w:sz w:val="24"/>
          <w:szCs w:val="24"/>
        </w:rPr>
        <w:t>住宿业纳税人数量多，经营者较为分散且受所在区位和品质定位、季节性关系影响，价格高低不统一，直接面对最终消费者，消费者获取发票意识普遍不强，平台支付和扫码或现金交易居多，难以通过以票控税准确核实收入，且服务和消费过程同时，住宿行业存在隐匿收入，少计收入。</w:t>
      </w:r>
    </w:p>
    <w:p w14:paraId="183F6201">
      <w:pPr>
        <w:numPr>
          <w:numId w:val="0"/>
        </w:numPr>
        <w:ind w:leftChars="0"/>
        <w:rPr>
          <w:rFonts w:hint="eastAsia"/>
          <w:sz w:val="24"/>
          <w:szCs w:val="24"/>
        </w:rPr>
      </w:pPr>
      <w:r>
        <w:rPr>
          <w:rFonts w:hint="eastAsia"/>
          <w:sz w:val="24"/>
          <w:szCs w:val="24"/>
          <w:lang w:val="en-US" w:eastAsia="zh-CN"/>
        </w:rPr>
        <w:t>2、</w:t>
      </w:r>
      <w:r>
        <w:rPr>
          <w:rFonts w:hint="eastAsia"/>
          <w:sz w:val="24"/>
          <w:szCs w:val="24"/>
        </w:rPr>
        <w:t>隐匿其它收入，不动产租赁及餐饮服务不申报</w:t>
      </w:r>
    </w:p>
    <w:p w14:paraId="3425322D">
      <w:pPr>
        <w:numPr>
          <w:numId w:val="0"/>
        </w:numPr>
        <w:ind w:leftChars="0"/>
        <w:rPr>
          <w:rFonts w:hint="eastAsia"/>
          <w:sz w:val="24"/>
          <w:szCs w:val="24"/>
        </w:rPr>
      </w:pPr>
      <w:r>
        <w:rPr>
          <w:rFonts w:hint="eastAsia"/>
          <w:sz w:val="24"/>
          <w:szCs w:val="24"/>
        </w:rPr>
        <w:t>住宿业特别是大型酒店涉及一楼商铺或外包餐饮部租赁，同时也存在电梯广告等楼宇广告涉及不动产租赁，存在少计不动产租赁服务收入。</w:t>
      </w:r>
    </w:p>
    <w:p w14:paraId="0C5FBE33">
      <w:pPr>
        <w:rPr>
          <w:rFonts w:hint="eastAsia"/>
          <w:sz w:val="24"/>
          <w:szCs w:val="24"/>
        </w:rPr>
      </w:pPr>
      <w:r>
        <w:rPr>
          <w:rFonts w:hint="eastAsia"/>
          <w:sz w:val="24"/>
          <w:szCs w:val="24"/>
        </w:rPr>
        <w:t>住宿业中大型酒店和连锁酒店通常存在餐饮服务，存在少计餐饮服务收入。</w:t>
      </w:r>
    </w:p>
    <w:p w14:paraId="6C6D6606">
      <w:pPr>
        <w:rPr>
          <w:rFonts w:hint="eastAsia"/>
          <w:sz w:val="24"/>
          <w:szCs w:val="24"/>
        </w:rPr>
      </w:pPr>
      <w:r>
        <w:rPr>
          <w:rFonts w:hint="eastAsia"/>
          <w:sz w:val="24"/>
          <w:szCs w:val="24"/>
        </w:rPr>
        <w:t>3、房产税、城镇土地使用税是否按时进行申报</w:t>
      </w:r>
    </w:p>
    <w:p w14:paraId="775336EE">
      <w:pPr>
        <w:rPr>
          <w:rFonts w:hint="eastAsia"/>
          <w:sz w:val="24"/>
          <w:szCs w:val="24"/>
        </w:rPr>
      </w:pPr>
      <w:r>
        <w:rPr>
          <w:rFonts w:hint="eastAsia"/>
          <w:sz w:val="24"/>
          <w:szCs w:val="24"/>
        </w:rPr>
        <w:t>住宿业经营场所是否按时进行申报城镇土地使用税和房产税。</w:t>
      </w:r>
    </w:p>
    <w:p w14:paraId="658FA927">
      <w:pPr>
        <w:rPr>
          <w:rFonts w:hint="default" w:eastAsiaTheme="minorEastAsia"/>
          <w:sz w:val="28"/>
          <w:szCs w:val="28"/>
          <w:lang w:val="en-US" w:eastAsia="zh-CN"/>
        </w:rPr>
      </w:pPr>
      <w:r>
        <w:rPr>
          <w:rFonts w:hint="eastAsia"/>
          <w:sz w:val="28"/>
          <w:szCs w:val="28"/>
          <w:lang w:val="en-US" w:eastAsia="zh-CN"/>
        </w:rPr>
        <w:t>三、风险分析方法</w:t>
      </w:r>
    </w:p>
    <w:p w14:paraId="3D749563">
      <w:pPr>
        <w:rPr>
          <w:rFonts w:hint="eastAsia"/>
          <w:sz w:val="24"/>
          <w:szCs w:val="24"/>
        </w:rPr>
      </w:pPr>
      <w:r>
        <w:rPr>
          <w:rFonts w:hint="eastAsia"/>
          <w:sz w:val="24"/>
          <w:szCs w:val="24"/>
        </w:rPr>
        <w:t>1、通过第三方数据核算销售金额</w:t>
      </w:r>
    </w:p>
    <w:p w14:paraId="3D9E02E7">
      <w:pPr>
        <w:rPr>
          <w:rFonts w:hint="eastAsia"/>
          <w:sz w:val="24"/>
          <w:szCs w:val="24"/>
        </w:rPr>
      </w:pPr>
      <w:r>
        <w:rPr>
          <w:rFonts w:hint="eastAsia"/>
          <w:sz w:val="24"/>
          <w:szCs w:val="24"/>
        </w:rPr>
        <w:t>通过与公安系统的数据交换，调取人员入住信息，按照入住人数 50%左右比例测算客房数量，进行一段时间内的房间入住率的测算。结合美团、携程、高德等平台房间的日常销售价格，测算房间的平均价格，测算企业的客房销售收入金额，与实际申报数据进行比对分析，判断生活服务业行业经营状况申报数据可信度。</w:t>
      </w:r>
      <w:r>
        <w:rPr>
          <w:rFonts w:hint="eastAsia"/>
          <w:sz w:val="24"/>
          <w:szCs w:val="24"/>
        </w:rPr>
        <w:t>2、调取企业账户信息核算流水资金风险</w:t>
      </w:r>
    </w:p>
    <w:p w14:paraId="074B8254">
      <w:pPr>
        <w:rPr>
          <w:rFonts w:hint="eastAsia"/>
          <w:sz w:val="24"/>
          <w:szCs w:val="24"/>
        </w:rPr>
      </w:pPr>
      <w:r>
        <w:rPr>
          <w:rFonts w:hint="eastAsia"/>
          <w:sz w:val="24"/>
          <w:szCs w:val="24"/>
        </w:rPr>
        <w:t>使用微信、支付宝、美团、携程、去哪儿、网络平台等所对应账户资金流水，或根据平台销售数据和金额核算其销售金额，掌握其已开票数据和实际消分析费转账等真实数据，着重加强税收大数据分析。</w:t>
      </w:r>
    </w:p>
    <w:p w14:paraId="4E8BB7C0">
      <w:pPr>
        <w:numPr>
          <w:ilvl w:val="0"/>
          <w:numId w:val="2"/>
        </w:numPr>
        <w:ind w:left="0" w:leftChars="0" w:firstLine="0" w:firstLineChars="0"/>
        <w:rPr>
          <w:rFonts w:hint="eastAsia"/>
          <w:sz w:val="24"/>
          <w:szCs w:val="24"/>
          <w:lang w:val="en-US" w:eastAsia="zh-CN"/>
        </w:rPr>
      </w:pPr>
      <w:r>
        <w:rPr>
          <w:rFonts w:hint="eastAsia"/>
          <w:sz w:val="24"/>
          <w:szCs w:val="24"/>
          <w:lang w:val="en-US" w:eastAsia="zh-CN"/>
        </w:rPr>
        <w:t>根据水电布草测算房间入住率</w:t>
      </w:r>
    </w:p>
    <w:p w14:paraId="5C624F04">
      <w:pPr>
        <w:numPr>
          <w:numId w:val="0"/>
        </w:numPr>
        <w:ind w:leftChars="0"/>
        <w:rPr>
          <w:rFonts w:hint="default" w:eastAsiaTheme="minorEastAsia"/>
          <w:sz w:val="24"/>
          <w:szCs w:val="24"/>
          <w:lang w:val="en-US" w:eastAsia="zh-CN"/>
        </w:rPr>
      </w:pPr>
      <w:r>
        <w:rPr>
          <w:rFonts w:hint="eastAsia"/>
          <w:sz w:val="24"/>
          <w:szCs w:val="24"/>
        </w:rPr>
        <w:t>房间内水电费账单、布草更换费用固定。单房的平均能耗在13-17元，占营业额的 8%-12%，根据一定时期的水电费账单，测算房间使用数量，数量与其布</w:t>
      </w:r>
      <w:r>
        <w:rPr>
          <w:rFonts w:hint="eastAsia"/>
          <w:sz w:val="24"/>
          <w:szCs w:val="24"/>
          <w:lang w:val="en-US" w:eastAsia="zh-CN"/>
        </w:rPr>
        <w:t>草洗涤成本进行核对，看是否匹配。</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26DF3A"/>
    <w:multiLevelType w:val="singleLevel"/>
    <w:tmpl w:val="B426DF3A"/>
    <w:lvl w:ilvl="0" w:tentative="0">
      <w:start w:val="1"/>
      <w:numFmt w:val="decimal"/>
      <w:lvlText w:val="(%1)"/>
      <w:lvlJc w:val="left"/>
      <w:pPr>
        <w:tabs>
          <w:tab w:val="left" w:pos="312"/>
        </w:tabs>
      </w:pPr>
    </w:lvl>
  </w:abstractNum>
  <w:abstractNum w:abstractNumId="1">
    <w:nsid w:val="C8D7236D"/>
    <w:multiLevelType w:val="singleLevel"/>
    <w:tmpl w:val="C8D7236D"/>
    <w:lvl w:ilvl="0" w:tentative="0">
      <w:start w:val="1"/>
      <w:numFmt w:val="chineseCounting"/>
      <w:suff w:val="nothing"/>
      <w:lvlText w:val="%1、"/>
      <w:lvlJc w:val="left"/>
      <w:rPr>
        <w:rFonts w:hint="eastAsia"/>
      </w:rPr>
    </w:lvl>
  </w:abstractNum>
  <w:abstractNum w:abstractNumId="2">
    <w:nsid w:val="FE84AE95"/>
    <w:multiLevelType w:val="singleLevel"/>
    <w:tmpl w:val="FE84AE95"/>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794A18"/>
    <w:rsid w:val="1C794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2025-05-26T07:35:00Z</dcterms:created>
  <dc:creator>wangchunfeng</dc:creator>
  <cp:lastModifiedBy>wangchunfeng</cp:lastModifiedBy>
  <dcterms:modified xsi:type="dcterms:W3CDTF">2025-05-26T08:04:16Z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54377977FBE14573B7494BD03D502D3B_11</vt:lpwstr>
  </property>
  <property fmtid="{D5CDD505-2E9C-101B-9397-08002B2CF9AE}" pid="4" name="KSOTemplateDocerSaveRecord">
    <vt:lpwstr>eyJoZGlkIjoiZjMzYzcxNmFjOWU0MDU0NjVlZWM4NTczMTA1ZTYwMDYifQ==</vt:lpwstr>
  </property>
</Properties>
</file>