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9A31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78" w:lineRule="atLeast"/>
        <w:ind w:left="0" w:right="0" w:firstLine="0"/>
        <w:jc w:val="center"/>
        <w:rPr>
          <w:rFonts w:ascii="Helvetica" w:hAnsi="Helvetica" w:eastAsia="Helvetica" w:cs="Helvetica"/>
          <w:i w:val="0"/>
          <w:iCs w:val="0"/>
          <w:caps w:val="0"/>
          <w:color w:val="333333"/>
          <w:spacing w:val="0"/>
          <w:sz w:val="37"/>
          <w:szCs w:val="37"/>
        </w:rPr>
      </w:pPr>
      <w:r>
        <w:rPr>
          <w:rFonts w:hint="default" w:ascii="Helvetica" w:hAnsi="Helvetica" w:eastAsia="Helvetica" w:cs="Helvetica"/>
          <w:i w:val="0"/>
          <w:iCs w:val="0"/>
          <w:caps w:val="0"/>
          <w:color w:val="333333"/>
          <w:spacing w:val="0"/>
          <w:sz w:val="37"/>
          <w:szCs w:val="37"/>
          <w:shd w:val="clear" w:fill="FFFFFF"/>
        </w:rPr>
        <w:t>小微企业套享税收优惠政策问题即问即答</w:t>
      </w:r>
    </w:p>
    <w:p w14:paraId="50AC5AE9">
      <w:pPr>
        <w:keepNext w:val="0"/>
        <w:keepLines w:val="0"/>
        <w:widowControl/>
        <w:suppressLineNumbers w:val="0"/>
        <w:pBdr>
          <w:top w:val="none" w:color="auto" w:sz="0" w:space="0"/>
          <w:left w:val="none" w:color="auto" w:sz="0" w:space="0"/>
          <w:bottom w:val="single" w:color="EEEEEE" w:sz="4" w:space="0"/>
          <w:right w:val="none" w:color="auto" w:sz="0" w:space="0"/>
        </w:pBdr>
        <w:shd w:val="clear" w:fill="FFFFFF"/>
        <w:spacing w:before="0" w:beforeAutospacing="0" w:after="0" w:afterAutospacing="0" w:line="360" w:lineRule="atLeast"/>
        <w:ind w:left="0" w:right="0" w:firstLine="0"/>
        <w:jc w:val="left"/>
        <w:rPr>
          <w:rFonts w:hint="eastAsia" w:ascii="宋体" w:hAnsi="宋体" w:eastAsia="宋体" w:cs="宋体"/>
          <w:i w:val="0"/>
          <w:iCs w:val="0"/>
          <w:caps w:val="0"/>
          <w:color w:val="888888"/>
          <w:spacing w:val="0"/>
          <w:sz w:val="24"/>
          <w:szCs w:val="24"/>
        </w:rPr>
      </w:pPr>
      <w:r>
        <w:rPr>
          <w:rFonts w:hint="eastAsia" w:ascii="宋体" w:hAnsi="宋体" w:eastAsia="宋体" w:cs="宋体"/>
          <w:i w:val="0"/>
          <w:iCs w:val="0"/>
          <w:caps w:val="0"/>
          <w:color w:val="888888"/>
          <w:spacing w:val="0"/>
          <w:kern w:val="0"/>
          <w:sz w:val="24"/>
          <w:szCs w:val="24"/>
          <w:shd w:val="clear" w:fill="FFFFFF"/>
          <w:lang w:val="en-US" w:eastAsia="zh-CN" w:bidi="ar"/>
        </w:rPr>
        <w:t>时间：</w:t>
      </w:r>
      <w:r>
        <w:rPr>
          <w:rFonts w:hint="eastAsia" w:ascii="宋体" w:hAnsi="宋体" w:eastAsia="宋体" w:cs="宋体"/>
          <w:b w:val="0"/>
          <w:bCs w:val="0"/>
          <w:i w:val="0"/>
          <w:iCs w:val="0"/>
          <w:caps w:val="0"/>
          <w:color w:val="888888"/>
          <w:spacing w:val="0"/>
          <w:kern w:val="0"/>
          <w:sz w:val="24"/>
          <w:szCs w:val="24"/>
          <w:shd w:val="clear" w:fill="FFFFFF"/>
          <w:lang w:val="en-US" w:eastAsia="zh-CN" w:bidi="ar"/>
        </w:rPr>
        <w:t>2026-02-25</w:t>
      </w:r>
      <w:r>
        <w:rPr>
          <w:rFonts w:hint="eastAsia" w:ascii="宋体" w:hAnsi="宋体" w:eastAsia="宋体" w:cs="宋体"/>
          <w:i w:val="0"/>
          <w:iCs w:val="0"/>
          <w:caps w:val="0"/>
          <w:color w:val="888888"/>
          <w:spacing w:val="0"/>
          <w:kern w:val="0"/>
          <w:sz w:val="24"/>
          <w:szCs w:val="24"/>
          <w:shd w:val="clear" w:fill="FFFFFF"/>
          <w:lang w:val="en-US" w:eastAsia="zh-CN" w:bidi="ar"/>
        </w:rPr>
        <w:t> 来源：国家税务总局政策法规司</w:t>
      </w:r>
    </w:p>
    <w:p w14:paraId="493B6C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socialshare" w:hAnsi="socialshare" w:eastAsia="socialshare" w:cs="socialshare"/>
          <w:i w:val="0"/>
          <w:iCs w:val="0"/>
          <w:caps w:val="0"/>
          <w:color w:val="888888"/>
          <w:spacing w:val="0"/>
          <w:sz w:val="16"/>
          <w:szCs w:val="16"/>
        </w:rPr>
      </w:pPr>
      <w:r>
        <w:rPr>
          <w:rFonts w:hint="default" w:ascii="socialshare" w:hAnsi="socialshare" w:eastAsia="socialshare" w:cs="socialshare"/>
          <w:i w:val="0"/>
          <w:iCs w:val="0"/>
          <w:caps w:val="0"/>
          <w:color w:val="7BC549"/>
          <w:spacing w:val="0"/>
          <w:kern w:val="0"/>
          <w:sz w:val="16"/>
          <w:szCs w:val="16"/>
          <w:u w:val="none"/>
          <w:bdr w:val="single" w:color="7BC549" w:sz="4" w:space="0"/>
          <w:shd w:val="clear" w:fill="FFFFFF"/>
          <w:lang w:val="en-US" w:eastAsia="zh-CN" w:bidi="ar"/>
        </w:rPr>
        <w:fldChar w:fldCharType="begin"/>
      </w:r>
      <w:r>
        <w:rPr>
          <w:rFonts w:hint="default" w:ascii="socialshare" w:hAnsi="socialshare" w:eastAsia="socialshare" w:cs="socialshare"/>
          <w:i w:val="0"/>
          <w:iCs w:val="0"/>
          <w:caps w:val="0"/>
          <w:color w:val="7BC549"/>
          <w:spacing w:val="0"/>
          <w:kern w:val="0"/>
          <w:sz w:val="16"/>
          <w:szCs w:val="16"/>
          <w:u w:val="none"/>
          <w:bdr w:val="single" w:color="7BC549" w:sz="4" w:space="0"/>
          <w:shd w:val="clear" w:fill="FFFFFF"/>
          <w:lang w:val="en-US" w:eastAsia="zh-CN" w:bidi="ar"/>
        </w:rPr>
        <w:instrText xml:space="preserve"> HYPERLINK "javascript:;" </w:instrText>
      </w:r>
      <w:r>
        <w:rPr>
          <w:rFonts w:hint="default" w:ascii="socialshare" w:hAnsi="socialshare" w:eastAsia="socialshare" w:cs="socialshare"/>
          <w:i w:val="0"/>
          <w:iCs w:val="0"/>
          <w:caps w:val="0"/>
          <w:color w:val="7BC549"/>
          <w:spacing w:val="0"/>
          <w:kern w:val="0"/>
          <w:sz w:val="16"/>
          <w:szCs w:val="16"/>
          <w:u w:val="none"/>
          <w:bdr w:val="single" w:color="7BC549" w:sz="4" w:space="0"/>
          <w:shd w:val="clear" w:fill="FFFFFF"/>
          <w:lang w:val="en-US" w:eastAsia="zh-CN" w:bidi="ar"/>
        </w:rPr>
        <w:fldChar w:fldCharType="separate"/>
      </w:r>
      <w:r>
        <w:rPr>
          <w:rFonts w:hint="default" w:ascii="socialshare" w:hAnsi="socialshare" w:eastAsia="socialshare" w:cs="socialshare"/>
          <w:i w:val="0"/>
          <w:iCs w:val="0"/>
          <w:caps w:val="0"/>
          <w:color w:val="7BC549"/>
          <w:spacing w:val="0"/>
          <w:kern w:val="0"/>
          <w:sz w:val="16"/>
          <w:szCs w:val="16"/>
          <w:u w:val="none"/>
          <w:bdr w:val="single" w:color="7BC549" w:sz="4" w:space="0"/>
          <w:shd w:val="clear" w:fill="FFFFFF"/>
          <w:lang w:val="en-US" w:eastAsia="zh-CN" w:bidi="ar"/>
        </w:rPr>
        <w:fldChar w:fldCharType="end"/>
      </w:r>
      <w:r>
        <w:rPr>
          <w:rFonts w:hint="default" w:ascii="socialshare" w:hAnsi="socialshare" w:eastAsia="socialshare" w:cs="socialshare"/>
          <w:i w:val="0"/>
          <w:iCs w:val="0"/>
          <w:caps w:val="0"/>
          <w:color w:val="FF763B"/>
          <w:spacing w:val="0"/>
          <w:kern w:val="0"/>
          <w:sz w:val="16"/>
          <w:szCs w:val="16"/>
          <w:u w:val="none"/>
          <w:bdr w:val="single" w:color="FF763B" w:sz="4" w:space="0"/>
          <w:shd w:val="clear" w:fill="FFFFFF"/>
          <w:lang w:val="en-US" w:eastAsia="zh-CN" w:bidi="ar"/>
        </w:rPr>
        <w:fldChar w:fldCharType="begin"/>
      </w:r>
      <w:r>
        <w:rPr>
          <w:rFonts w:hint="default" w:ascii="socialshare" w:hAnsi="socialshare" w:eastAsia="socialshare" w:cs="socialshare"/>
          <w:i w:val="0"/>
          <w:iCs w:val="0"/>
          <w:caps w:val="0"/>
          <w:color w:val="FF763B"/>
          <w:spacing w:val="0"/>
          <w:kern w:val="0"/>
          <w:sz w:val="16"/>
          <w:szCs w:val="16"/>
          <w:u w:val="none"/>
          <w:bdr w:val="single" w:color="FF763B" w:sz="4" w:space="0"/>
          <w:shd w:val="clear" w:fill="FFFFFF"/>
          <w:lang w:val="en-US" w:eastAsia="zh-CN" w:bidi="ar"/>
        </w:rPr>
        <w:instrText xml:space="preserve"> HYPERLINK "https://service.weibo.com/share/share.php?url=https://www.chinatax.gov.cn/chinatax/c102414/c5247848/content.html&amp;title=%E5%B0%8F%E5%BE%AE%E4%BC%81%E4%B8%9A%E5%A5%97%E4%BA%AB%E7%A8%8E%E6%94%B6%E4%BC%98%E6%83%A0%E6%94%BF%E7%AD%96%E9%97%AE%E9%A2%98%E5%8D%B3%E9%97%AE%E5%8D%B3%E7%AD%94_%E5%9B%BD%E5%AE%B6%E7%A8%8E%E5%8A%A1%E6%80%BB%E5%B1%80&amp;pic=https://www.chinatax.gov.cn/chinatax/xhtml/New_chinatax/static/2023/images/index/ENbox_sy.png&amp;appkey=" \t "https://www.chinatax.gov.cn/chinatax/c102414/c5247848/_blank" </w:instrText>
      </w:r>
      <w:r>
        <w:rPr>
          <w:rFonts w:hint="default" w:ascii="socialshare" w:hAnsi="socialshare" w:eastAsia="socialshare" w:cs="socialshare"/>
          <w:i w:val="0"/>
          <w:iCs w:val="0"/>
          <w:caps w:val="0"/>
          <w:color w:val="FF763B"/>
          <w:spacing w:val="0"/>
          <w:kern w:val="0"/>
          <w:sz w:val="16"/>
          <w:szCs w:val="16"/>
          <w:u w:val="none"/>
          <w:bdr w:val="single" w:color="FF763B" w:sz="4" w:space="0"/>
          <w:shd w:val="clear" w:fill="FFFFFF"/>
          <w:lang w:val="en-US" w:eastAsia="zh-CN" w:bidi="ar"/>
        </w:rPr>
        <w:fldChar w:fldCharType="separate"/>
      </w:r>
      <w:r>
        <w:rPr>
          <w:rFonts w:hint="default" w:ascii="socialshare" w:hAnsi="socialshare" w:eastAsia="socialshare" w:cs="socialshare"/>
          <w:i w:val="0"/>
          <w:iCs w:val="0"/>
          <w:caps w:val="0"/>
          <w:color w:val="FF763B"/>
          <w:spacing w:val="0"/>
          <w:kern w:val="0"/>
          <w:sz w:val="16"/>
          <w:szCs w:val="16"/>
          <w:u w:val="none"/>
          <w:bdr w:val="single" w:color="FF763B" w:sz="4" w:space="0"/>
          <w:shd w:val="clear" w:fill="FFFFFF"/>
          <w:lang w:val="en-US" w:eastAsia="zh-CN" w:bidi="ar"/>
        </w:rPr>
        <w:fldChar w:fldCharType="end"/>
      </w:r>
    </w:p>
    <w:p w14:paraId="5A67D4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473" w:lineRule="atLeast"/>
        <w:ind w:left="0" w:right="0" w:firstLine="420"/>
        <w:jc w:val="both"/>
        <w:rPr>
          <w:rFonts w:hint="eastAsia" w:ascii="宋体" w:hAnsi="宋体" w:eastAsia="宋体" w:cs="宋体"/>
          <w:sz w:val="24"/>
          <w:szCs w:val="24"/>
          <w:highlight w:val="green"/>
        </w:rPr>
      </w:pPr>
      <w:r>
        <w:rPr>
          <w:rFonts w:hint="default" w:ascii="Helvetica" w:hAnsi="Helvetica" w:eastAsia="Helvetica" w:cs="Helvetica"/>
          <w:b/>
          <w:bCs/>
          <w:i w:val="0"/>
          <w:iCs w:val="0"/>
          <w:caps w:val="0"/>
          <w:color w:val="333333"/>
          <w:spacing w:val="0"/>
          <w:sz w:val="24"/>
          <w:szCs w:val="24"/>
          <w:shd w:val="clear" w:fill="FFFFFF"/>
        </w:rPr>
        <w:t>问：</w:t>
      </w:r>
      <w:r>
        <w:rPr>
          <w:rFonts w:hint="eastAsia" w:ascii="宋体" w:hAnsi="宋体" w:eastAsia="宋体" w:cs="宋体"/>
          <w:i w:val="0"/>
          <w:iCs w:val="0"/>
          <w:caps w:val="0"/>
          <w:color w:val="333333"/>
          <w:spacing w:val="0"/>
          <w:sz w:val="24"/>
          <w:szCs w:val="24"/>
          <w:shd w:val="clear" w:fill="FFFFFF"/>
        </w:rPr>
        <w:t>当前，国家支持小微企业发展的税收优惠政策项目较多，主要包括：增值税小规模纳税人月销售额10万元以下免征增值税，增值税小规模纳税人适用3%征收率的应税销售收入减按1%征收增值税，增值税小规模纳税人、小型微利企业和个体工商户减半征收“六税两费”，小型微利企业减按25%计算应纳税所得额并按20%的税率缴纳企业所得税，个体工商户年应纳税所得额不超过200万元部分减半征收个人所得税政策。</w:t>
      </w:r>
      <w:r>
        <w:rPr>
          <w:rFonts w:hint="eastAsia" w:ascii="宋体" w:hAnsi="宋体" w:eastAsia="宋体" w:cs="宋体"/>
          <w:i w:val="0"/>
          <w:iCs w:val="0"/>
          <w:caps w:val="0"/>
          <w:color w:val="333333"/>
          <w:spacing w:val="0"/>
          <w:sz w:val="24"/>
          <w:szCs w:val="24"/>
          <w:highlight w:val="green"/>
          <w:shd w:val="clear" w:fill="FFFFFF"/>
        </w:rPr>
        <w:t>税收征管中发现，一些纳税人通过人为拆分收入的手段，让自己始终停留在“小微企业”阶段，从而持续享受税收优惠，这有悖于税收优惠支持企业做大做强的政策初衷。对此应如何加强税收监管？</w:t>
      </w:r>
    </w:p>
    <w:p w14:paraId="07F4D1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473" w:lineRule="atLeast"/>
        <w:ind w:left="0" w:right="0" w:firstLine="420"/>
        <w:jc w:val="both"/>
        <w:rPr>
          <w:rFonts w:hint="eastAsia" w:ascii="宋体" w:hAnsi="宋体" w:eastAsia="宋体" w:cs="宋体"/>
          <w:sz w:val="24"/>
          <w:szCs w:val="24"/>
        </w:rPr>
      </w:pPr>
      <w:r>
        <w:rPr>
          <w:rFonts w:hint="eastAsia" w:ascii="宋体" w:hAnsi="宋体" w:eastAsia="宋体" w:cs="宋体"/>
          <w:b/>
          <w:bCs/>
          <w:i w:val="0"/>
          <w:iCs w:val="0"/>
          <w:caps w:val="0"/>
          <w:color w:val="333333"/>
          <w:spacing w:val="0"/>
          <w:sz w:val="24"/>
          <w:szCs w:val="24"/>
          <w:shd w:val="clear" w:fill="FFFFFF"/>
        </w:rPr>
        <w:t>答：</w:t>
      </w:r>
      <w:r>
        <w:rPr>
          <w:rFonts w:hint="eastAsia" w:ascii="宋体" w:hAnsi="宋体" w:eastAsia="宋体" w:cs="宋体"/>
          <w:i w:val="0"/>
          <w:iCs w:val="0"/>
          <w:caps w:val="0"/>
          <w:color w:val="333333"/>
          <w:spacing w:val="0"/>
          <w:sz w:val="24"/>
          <w:szCs w:val="24"/>
          <w:shd w:val="clear" w:fill="FFFFFF"/>
        </w:rPr>
        <w:t>根据民法有关精神和税收征收管理法、增值税法、企业所得税法等有关规定，税务机关应对企业经营行为是否具有合理目的进行全方位的综合判断，对明显不具有合理商业目的的拆分收入行为予以税收调整，督促纳税人依法履行纳税义务。这是维护国家税收权益、促进税收公平的题中应有之意。概括来看，判断不合理拆分收入的标准，大体包括以下三个方面：</w:t>
      </w:r>
    </w:p>
    <w:p w14:paraId="4B486A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473" w:lineRule="atLeast"/>
        <w:ind w:left="0" w:right="0" w:firstLine="420"/>
        <w:jc w:val="both"/>
        <w:rPr>
          <w:rFonts w:hint="eastAsia" w:ascii="宋体" w:hAnsi="宋体" w:eastAsia="宋体" w:cs="宋体"/>
          <w:sz w:val="24"/>
          <w:szCs w:val="24"/>
          <w:highlight w:val="green"/>
        </w:rPr>
      </w:pPr>
      <w:r>
        <w:rPr>
          <w:rFonts w:hint="eastAsia" w:ascii="宋体" w:hAnsi="宋体" w:eastAsia="宋体" w:cs="宋体"/>
          <w:b/>
          <w:bCs/>
          <w:i w:val="0"/>
          <w:iCs w:val="0"/>
          <w:caps w:val="0"/>
          <w:color w:val="333333"/>
          <w:spacing w:val="0"/>
          <w:sz w:val="24"/>
          <w:szCs w:val="24"/>
          <w:highlight w:val="green"/>
          <w:shd w:val="clear" w:fill="FFFFFF"/>
        </w:rPr>
        <w:t>一是看动机是否合理。</w:t>
      </w:r>
      <w:r>
        <w:rPr>
          <w:rFonts w:hint="eastAsia" w:ascii="宋体" w:hAnsi="宋体" w:eastAsia="宋体" w:cs="宋体"/>
          <w:i w:val="0"/>
          <w:iCs w:val="0"/>
          <w:caps w:val="0"/>
          <w:color w:val="333333"/>
          <w:spacing w:val="0"/>
          <w:sz w:val="24"/>
          <w:szCs w:val="24"/>
          <w:shd w:val="clear" w:fill="FFFFFF"/>
        </w:rPr>
        <w:t>合理拆分需符合行业惯例与企业发展战略，能够带来管理效率提升、市场竞争力增强等实际效益，而非单纯以减少、免除或者推迟缴纳税款为唯一或主要目的；</w:t>
      </w:r>
      <w:r>
        <w:rPr>
          <w:rFonts w:hint="eastAsia" w:ascii="宋体" w:hAnsi="宋体" w:eastAsia="宋体" w:cs="宋体"/>
          <w:i w:val="0"/>
          <w:iCs w:val="0"/>
          <w:caps w:val="0"/>
          <w:color w:val="333333"/>
          <w:spacing w:val="0"/>
          <w:sz w:val="24"/>
          <w:szCs w:val="24"/>
          <w:highlight w:val="green"/>
          <w:shd w:val="clear" w:fill="FFFFFF"/>
        </w:rPr>
        <w:t>而不合理拆分以减少税款为唯一或主要目的，拆分前后企业整体经营规模、业务结构无实质变化，仅通过拆分使经营收入适用更低税率或享受税收优惠。</w:t>
      </w:r>
    </w:p>
    <w:p w14:paraId="68156B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473" w:lineRule="atLeast"/>
        <w:ind w:left="0" w:right="0" w:firstLine="420"/>
        <w:jc w:val="both"/>
        <w:rPr>
          <w:rFonts w:hint="eastAsia" w:ascii="宋体" w:hAnsi="宋体" w:eastAsia="宋体" w:cs="宋体"/>
          <w:sz w:val="24"/>
          <w:szCs w:val="24"/>
          <w:highlight w:val="green"/>
        </w:rPr>
      </w:pPr>
      <w:r>
        <w:rPr>
          <w:rFonts w:hint="eastAsia" w:ascii="宋体" w:hAnsi="宋体" w:eastAsia="宋体" w:cs="宋体"/>
          <w:b/>
          <w:bCs/>
          <w:i w:val="0"/>
          <w:iCs w:val="0"/>
          <w:caps w:val="0"/>
          <w:color w:val="333333"/>
          <w:spacing w:val="0"/>
          <w:sz w:val="24"/>
          <w:szCs w:val="24"/>
          <w:highlight w:val="green"/>
          <w:shd w:val="clear" w:fill="FFFFFF"/>
        </w:rPr>
        <w:t>二是看业务是否真实。</w:t>
      </w:r>
      <w:r>
        <w:rPr>
          <w:rFonts w:hint="eastAsia" w:ascii="宋体" w:hAnsi="宋体" w:eastAsia="宋体" w:cs="宋体"/>
          <w:i w:val="0"/>
          <w:iCs w:val="0"/>
          <w:caps w:val="0"/>
          <w:color w:val="333333"/>
          <w:spacing w:val="0"/>
          <w:sz w:val="24"/>
          <w:szCs w:val="24"/>
          <w:shd w:val="clear" w:fill="FFFFFF"/>
        </w:rPr>
        <w:t>合理拆分后的主体应当具备独立的生产经营能力和完整的业务流程，包括组织独立、资产独立、业务独立、财务独立，能够提供完整的业务洽谈记录、合同协议、履约凭证等资料</w:t>
      </w:r>
      <w:r>
        <w:rPr>
          <w:rFonts w:hint="eastAsia" w:ascii="宋体" w:hAnsi="宋体" w:eastAsia="宋体" w:cs="宋体"/>
          <w:i w:val="0"/>
          <w:iCs w:val="0"/>
          <w:caps w:val="0"/>
          <w:color w:val="333333"/>
          <w:spacing w:val="0"/>
          <w:sz w:val="24"/>
          <w:szCs w:val="24"/>
          <w:highlight w:val="yellow"/>
          <w:shd w:val="clear" w:fill="FFFFFF"/>
        </w:rPr>
        <w:t>，不存在资产共用、人员混同、决策集中控制等情况，各主体收入与其实际业务匹配；</w:t>
      </w:r>
      <w:r>
        <w:rPr>
          <w:rFonts w:hint="eastAsia" w:ascii="宋体" w:hAnsi="宋体" w:eastAsia="宋体" w:cs="宋体"/>
          <w:i w:val="0"/>
          <w:iCs w:val="0"/>
          <w:caps w:val="0"/>
          <w:color w:val="333333"/>
          <w:spacing w:val="0"/>
          <w:sz w:val="24"/>
          <w:szCs w:val="24"/>
          <w:highlight w:val="green"/>
          <w:shd w:val="clear" w:fill="FFFFFF"/>
        </w:rPr>
        <w:t>而不合理拆分的主体往往“一址多证”，注册地址为虚拟办公空间或同一地址，无实际经营人员与业务痕迹，现场仅存放少量办公用品，无实际经营活动。</w:t>
      </w:r>
    </w:p>
    <w:p w14:paraId="233C26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473" w:lineRule="atLeast"/>
        <w:ind w:left="0" w:right="0" w:firstLine="420"/>
        <w:jc w:val="both"/>
        <w:rPr>
          <w:rFonts w:hint="eastAsia" w:ascii="宋体" w:hAnsi="宋体" w:eastAsia="宋体" w:cs="宋体"/>
          <w:sz w:val="24"/>
          <w:szCs w:val="24"/>
          <w:highlight w:val="green"/>
        </w:rPr>
      </w:pPr>
      <w:r>
        <w:rPr>
          <w:rFonts w:hint="eastAsia" w:ascii="宋体" w:hAnsi="宋体" w:eastAsia="宋体" w:cs="宋体"/>
          <w:b/>
          <w:bCs/>
          <w:i w:val="0"/>
          <w:iCs w:val="0"/>
          <w:caps w:val="0"/>
          <w:color w:val="333333"/>
          <w:spacing w:val="0"/>
          <w:sz w:val="24"/>
          <w:szCs w:val="24"/>
          <w:highlight w:val="green"/>
          <w:shd w:val="clear" w:fill="FFFFFF"/>
        </w:rPr>
        <w:t>三是看交易是否公允。</w:t>
      </w:r>
      <w:r>
        <w:rPr>
          <w:rFonts w:hint="eastAsia" w:ascii="宋体" w:hAnsi="宋体" w:eastAsia="宋体" w:cs="宋体"/>
          <w:i w:val="0"/>
          <w:iCs w:val="0"/>
          <w:caps w:val="0"/>
          <w:color w:val="333333"/>
          <w:spacing w:val="0"/>
          <w:sz w:val="24"/>
          <w:szCs w:val="24"/>
          <w:shd w:val="clear" w:fill="FFFFFF"/>
        </w:rPr>
        <w:t>合理拆分的主体间交易需遵循独立交易原则，商品销售价格、服务收费标准与市场同类交易一致，能够提供第三方报价单、行业公允数据等证明材料；</w:t>
      </w:r>
      <w:r>
        <w:rPr>
          <w:rFonts w:hint="eastAsia" w:ascii="宋体" w:hAnsi="宋体" w:eastAsia="宋体" w:cs="宋体"/>
          <w:i w:val="0"/>
          <w:iCs w:val="0"/>
          <w:caps w:val="0"/>
          <w:color w:val="333333"/>
          <w:spacing w:val="0"/>
          <w:sz w:val="24"/>
          <w:szCs w:val="24"/>
          <w:highlight w:val="green"/>
          <w:shd w:val="clear" w:fill="FFFFFF"/>
        </w:rPr>
        <w:t>而不合理拆分往往通过低价销售、无偿服务等方式转移利润，通过利润转移实现整体税负降低。</w:t>
      </w:r>
    </w:p>
    <w:p w14:paraId="3B4171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473" w:lineRule="atLeast"/>
        <w:ind w:left="0" w:right="0" w:firstLine="42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附表中列出“合理商业目的”税收判定标准的正负面清单，可按此参考，具体执法时需严格依照现行法律法规的规定，充分向纳税人阐明执法依据，确保执法既有力度又有温度。</w:t>
      </w:r>
    </w:p>
    <w:p w14:paraId="0B7707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0" w:afterAutospacing="0" w:line="15" w:lineRule="atLeast"/>
        <w:ind w:left="0" w:right="0" w:firstLine="0"/>
        <w:jc w:val="left"/>
      </w:pPr>
      <w:r>
        <w:rPr>
          <w:rFonts w:ascii="仿宋_GB2312" w:hAnsi="Helvetica" w:eastAsia="仿宋_GB2312" w:cs="仿宋_GB2312"/>
          <w:i w:val="0"/>
          <w:iCs w:val="0"/>
          <w:caps w:val="0"/>
          <w:color w:val="333333"/>
          <w:spacing w:val="0"/>
          <w:sz w:val="32"/>
          <w:szCs w:val="32"/>
          <w:shd w:val="clear" w:fill="FFFFFF"/>
        </w:rPr>
        <w:t>附表</w:t>
      </w:r>
      <w:r>
        <w:rPr>
          <w:rFonts w:hint="default" w:ascii="仿宋_GB2312" w:hAnsi="Helvetica" w:eastAsia="仿宋_GB2312" w:cs="仿宋_GB2312"/>
          <w:i w:val="0"/>
          <w:iCs w:val="0"/>
          <w:caps w:val="0"/>
          <w:color w:val="333333"/>
          <w:spacing w:val="0"/>
          <w:sz w:val="32"/>
          <w:szCs w:val="32"/>
          <w:shd w:val="clear" w:fill="FFFFFF"/>
        </w:rPr>
        <w:t>:</w:t>
      </w:r>
    </w:p>
    <w:p w14:paraId="780351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0" w:afterAutospacing="0" w:line="15" w:lineRule="atLeast"/>
        <w:ind w:left="0" w:right="0" w:firstLine="0"/>
        <w:jc w:val="center"/>
      </w:pPr>
      <w:r>
        <w:rPr>
          <w:rFonts w:hint="default" w:ascii="仿宋_GB2312" w:hAnsi="Helvetica" w:eastAsia="仿宋_GB2312" w:cs="仿宋_GB2312"/>
          <w:b/>
          <w:bCs/>
          <w:i w:val="0"/>
          <w:iCs w:val="0"/>
          <w:caps w:val="0"/>
          <w:color w:val="333333"/>
          <w:spacing w:val="0"/>
          <w:sz w:val="32"/>
          <w:szCs w:val="32"/>
          <w:shd w:val="clear" w:fill="FFFFFF"/>
        </w:rPr>
        <w:t>“合理商业目的”税收判定标准的正负面清单</w:t>
      </w:r>
    </w:p>
    <w:tbl>
      <w:tblPr>
        <w:tblStyle w:val="4"/>
        <w:tblW w:w="8658" w:type="dxa"/>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822"/>
        <w:gridCol w:w="4240"/>
        <w:gridCol w:w="3596"/>
      </w:tblGrid>
      <w:tr w14:paraId="17301F2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783" w:hRule="atLeast"/>
          <w:jc w:val="center"/>
        </w:trPr>
        <w:tc>
          <w:tcPr>
            <w:tcW w:w="822" w:type="dxa"/>
            <w:tcBorders>
              <w:top w:val="single" w:color="auto" w:sz="8" w:space="0"/>
              <w:left w:val="single" w:color="auto" w:sz="8" w:space="0"/>
              <w:bottom w:val="single" w:color="auto" w:sz="8" w:space="0"/>
              <w:right w:val="single" w:color="auto" w:sz="8" w:space="0"/>
            </w:tcBorders>
            <w:shd w:val="clear" w:color="auto" w:fill="D7D7D7"/>
            <w:tcMar>
              <w:left w:w="108" w:type="dxa"/>
              <w:right w:w="108" w:type="dxa"/>
            </w:tcMar>
            <w:vAlign w:val="center"/>
          </w:tcPr>
          <w:p w14:paraId="51F99BD9">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b/>
                <w:bCs/>
                <w:kern w:val="0"/>
                <w:sz w:val="28"/>
                <w:szCs w:val="28"/>
                <w:lang w:val="en-US" w:eastAsia="zh-CN" w:bidi="ar"/>
              </w:rPr>
              <w:t>判断</w:t>
            </w:r>
          </w:p>
          <w:p w14:paraId="7836C878">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b/>
                <w:bCs/>
                <w:kern w:val="0"/>
                <w:sz w:val="28"/>
                <w:szCs w:val="28"/>
                <w:lang w:val="en-US" w:eastAsia="zh-CN" w:bidi="ar"/>
              </w:rPr>
              <w:t>标准</w:t>
            </w:r>
          </w:p>
        </w:tc>
        <w:tc>
          <w:tcPr>
            <w:tcW w:w="4240" w:type="dxa"/>
            <w:tcBorders>
              <w:top w:val="single" w:color="auto" w:sz="8" w:space="0"/>
              <w:left w:val="nil"/>
              <w:bottom w:val="single" w:color="auto" w:sz="8" w:space="0"/>
              <w:right w:val="single" w:color="auto" w:sz="8" w:space="0"/>
            </w:tcBorders>
            <w:shd w:val="clear" w:color="auto" w:fill="D7D7D7"/>
            <w:tcMar>
              <w:left w:w="108" w:type="dxa"/>
              <w:right w:w="108" w:type="dxa"/>
            </w:tcMar>
            <w:vAlign w:val="center"/>
          </w:tcPr>
          <w:p w14:paraId="472C8522">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center"/>
            </w:pPr>
            <w:r>
              <w:rPr>
                <w:rFonts w:hint="default" w:ascii="仿宋_GB2312" w:eastAsia="仿宋_GB2312" w:cs="仿宋_GB2312" w:hAnsiTheme="minorHAnsi"/>
                <w:b/>
                <w:bCs/>
                <w:kern w:val="0"/>
                <w:sz w:val="28"/>
                <w:szCs w:val="28"/>
                <w:lang w:val="en-US" w:eastAsia="zh-CN" w:bidi="ar"/>
              </w:rPr>
              <w:t>具有“合理商业目的”</w:t>
            </w:r>
          </w:p>
          <w:p w14:paraId="67B4CB6E">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center"/>
            </w:pPr>
            <w:r>
              <w:rPr>
                <w:rFonts w:hint="default" w:ascii="仿宋_GB2312" w:eastAsia="仿宋_GB2312" w:cs="仿宋_GB2312" w:hAnsiTheme="minorHAnsi"/>
                <w:b/>
                <w:bCs/>
                <w:kern w:val="0"/>
                <w:sz w:val="28"/>
                <w:szCs w:val="28"/>
                <w:lang w:val="en-US" w:eastAsia="zh-CN" w:bidi="ar"/>
              </w:rPr>
              <w:t>的分拆（正面清单）</w:t>
            </w:r>
          </w:p>
        </w:tc>
        <w:tc>
          <w:tcPr>
            <w:tcW w:w="3596" w:type="dxa"/>
            <w:tcBorders>
              <w:top w:val="single" w:color="auto" w:sz="8" w:space="0"/>
              <w:left w:val="nil"/>
              <w:bottom w:val="single" w:color="auto" w:sz="8" w:space="0"/>
              <w:right w:val="single" w:color="auto" w:sz="8" w:space="0"/>
            </w:tcBorders>
            <w:shd w:val="clear" w:color="auto" w:fill="D7D7D7"/>
            <w:tcMar>
              <w:left w:w="108" w:type="dxa"/>
              <w:right w:w="108" w:type="dxa"/>
            </w:tcMar>
            <w:vAlign w:val="center"/>
          </w:tcPr>
          <w:p w14:paraId="72ABDCE0">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center"/>
            </w:pPr>
            <w:r>
              <w:rPr>
                <w:rFonts w:hint="default" w:ascii="仿宋_GB2312" w:eastAsia="仿宋_GB2312" w:cs="仿宋_GB2312" w:hAnsiTheme="minorHAnsi"/>
                <w:b/>
                <w:bCs/>
                <w:kern w:val="0"/>
                <w:sz w:val="28"/>
                <w:szCs w:val="28"/>
                <w:lang w:val="en-US" w:eastAsia="zh-CN" w:bidi="ar"/>
              </w:rPr>
              <w:t>不具有“合理商业目的”</w:t>
            </w:r>
          </w:p>
          <w:p w14:paraId="1F162F1A">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center"/>
            </w:pPr>
            <w:r>
              <w:rPr>
                <w:rFonts w:hint="default" w:ascii="仿宋_GB2312" w:eastAsia="仿宋_GB2312" w:cs="仿宋_GB2312" w:hAnsiTheme="minorHAnsi"/>
                <w:b/>
                <w:bCs/>
                <w:kern w:val="0"/>
                <w:sz w:val="28"/>
                <w:szCs w:val="28"/>
                <w:lang w:val="en-US" w:eastAsia="zh-CN" w:bidi="ar"/>
              </w:rPr>
              <w:t>的分拆（负面清单）</w:t>
            </w:r>
          </w:p>
        </w:tc>
      </w:tr>
      <w:tr w14:paraId="36AEACF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206" w:hRule="atLeast"/>
          <w:jc w:val="center"/>
        </w:trPr>
        <w:tc>
          <w:tcPr>
            <w:tcW w:w="822" w:type="dxa"/>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14:paraId="12B82C95">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b/>
                <w:bCs/>
                <w:kern w:val="0"/>
                <w:sz w:val="28"/>
                <w:szCs w:val="28"/>
                <w:lang w:val="en-US" w:eastAsia="zh-CN" w:bidi="ar"/>
              </w:rPr>
              <w:t>动机</w:t>
            </w:r>
          </w:p>
          <w:p w14:paraId="1913F413">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b/>
                <w:bCs/>
                <w:kern w:val="0"/>
                <w:sz w:val="28"/>
                <w:szCs w:val="28"/>
                <w:lang w:val="en-US" w:eastAsia="zh-CN" w:bidi="ar"/>
              </w:rPr>
              <w:t>是否</w:t>
            </w:r>
          </w:p>
          <w:p w14:paraId="19957D69">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b/>
                <w:bCs/>
                <w:kern w:val="0"/>
                <w:sz w:val="28"/>
                <w:szCs w:val="28"/>
                <w:lang w:val="en-US" w:eastAsia="zh-CN" w:bidi="ar"/>
              </w:rPr>
              <w:t>合理</w:t>
            </w:r>
          </w:p>
        </w:tc>
        <w:tc>
          <w:tcPr>
            <w:tcW w:w="4240" w:type="dxa"/>
            <w:tcBorders>
              <w:top w:val="nil"/>
              <w:left w:val="nil"/>
              <w:bottom w:val="single" w:color="auto" w:sz="8" w:space="0"/>
              <w:right w:val="single" w:color="auto" w:sz="8" w:space="0"/>
            </w:tcBorders>
            <w:shd w:val="clear" w:color="auto" w:fill="auto"/>
            <w:tcMar>
              <w:left w:w="108" w:type="dxa"/>
              <w:right w:w="108" w:type="dxa"/>
            </w:tcMar>
            <w:vAlign w:val="center"/>
          </w:tcPr>
          <w:p w14:paraId="6B93F91F">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b w:val="0"/>
                <w:bCs w:val="0"/>
                <w:kern w:val="0"/>
                <w:sz w:val="28"/>
                <w:szCs w:val="28"/>
                <w:lang w:val="en-US" w:eastAsia="zh-CN" w:bidi="ar"/>
              </w:rPr>
              <w:t>符合行业惯例与企业发展战略，能够带来管理效率提升、市场竞争力增强等实际效益，而非单纯以减少、免除或者推迟缴纳税款为唯一或主要目的。</w:t>
            </w:r>
          </w:p>
        </w:tc>
        <w:tc>
          <w:tcPr>
            <w:tcW w:w="3596" w:type="dxa"/>
            <w:tcBorders>
              <w:top w:val="nil"/>
              <w:left w:val="nil"/>
              <w:bottom w:val="single" w:color="auto" w:sz="8" w:space="0"/>
              <w:right w:val="single" w:color="auto" w:sz="8" w:space="0"/>
            </w:tcBorders>
            <w:shd w:val="clear" w:color="auto" w:fill="auto"/>
            <w:tcMar>
              <w:left w:w="108" w:type="dxa"/>
              <w:right w:w="108" w:type="dxa"/>
            </w:tcMar>
            <w:vAlign w:val="center"/>
          </w:tcPr>
          <w:p w14:paraId="66036C9F">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b w:val="0"/>
                <w:bCs w:val="0"/>
                <w:kern w:val="0"/>
                <w:sz w:val="28"/>
                <w:szCs w:val="28"/>
                <w:highlight w:val="green"/>
                <w:lang w:val="en-US" w:eastAsia="zh-CN" w:bidi="ar"/>
              </w:rPr>
              <w:t>以减少税款为唯一或主要目的，分拆前后企业整体经营规模、业务结构无实质变化，仅通过分拆使收入适用更低税率或享受税收优惠。</w:t>
            </w:r>
          </w:p>
        </w:tc>
      </w:tr>
      <w:tr w14:paraId="4D6B62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690" w:hRule="atLeast"/>
          <w:jc w:val="center"/>
        </w:trPr>
        <w:tc>
          <w:tcPr>
            <w:tcW w:w="822" w:type="dxa"/>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14:paraId="18E4132F">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b/>
                <w:bCs/>
                <w:kern w:val="0"/>
                <w:sz w:val="28"/>
                <w:szCs w:val="28"/>
                <w:lang w:val="en-US" w:eastAsia="zh-CN" w:bidi="ar"/>
              </w:rPr>
              <w:t>业务</w:t>
            </w:r>
          </w:p>
          <w:p w14:paraId="7B80A6E7">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b/>
                <w:bCs/>
                <w:kern w:val="0"/>
                <w:sz w:val="28"/>
                <w:szCs w:val="28"/>
                <w:lang w:val="en-US" w:eastAsia="zh-CN" w:bidi="ar"/>
              </w:rPr>
              <w:t>是否</w:t>
            </w:r>
          </w:p>
          <w:p w14:paraId="1866C617">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b/>
                <w:bCs/>
                <w:kern w:val="0"/>
                <w:sz w:val="28"/>
                <w:szCs w:val="28"/>
                <w:lang w:val="en-US" w:eastAsia="zh-CN" w:bidi="ar"/>
              </w:rPr>
              <w:t>真实</w:t>
            </w:r>
          </w:p>
        </w:tc>
        <w:tc>
          <w:tcPr>
            <w:tcW w:w="4240" w:type="dxa"/>
            <w:tcBorders>
              <w:top w:val="nil"/>
              <w:left w:val="nil"/>
              <w:bottom w:val="single" w:color="auto" w:sz="8" w:space="0"/>
              <w:right w:val="single" w:color="auto" w:sz="8" w:space="0"/>
            </w:tcBorders>
            <w:shd w:val="clear" w:color="auto" w:fill="auto"/>
            <w:tcMar>
              <w:left w:w="108" w:type="dxa"/>
              <w:right w:w="108" w:type="dxa"/>
            </w:tcMar>
            <w:vAlign w:val="center"/>
          </w:tcPr>
          <w:p w14:paraId="2D2276CC">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b w:val="0"/>
                <w:bCs w:val="0"/>
                <w:kern w:val="0"/>
                <w:sz w:val="28"/>
                <w:szCs w:val="28"/>
                <w:lang w:val="en-US" w:eastAsia="zh-CN" w:bidi="ar"/>
              </w:rPr>
              <w:t>应当具备独立的生产经营能力和完整的业务流程，提供完整的业务洽谈记录、合同协议、履约凭证等资料，不存在资产共用、人员混同、决策集中控制等情况；各主体收入与其实际业务匹配。</w:t>
            </w:r>
          </w:p>
        </w:tc>
        <w:tc>
          <w:tcPr>
            <w:tcW w:w="3596" w:type="dxa"/>
            <w:tcBorders>
              <w:top w:val="nil"/>
              <w:left w:val="nil"/>
              <w:bottom w:val="single" w:color="auto" w:sz="8" w:space="0"/>
              <w:right w:val="single" w:color="auto" w:sz="8" w:space="0"/>
            </w:tcBorders>
            <w:shd w:val="clear" w:color="auto" w:fill="auto"/>
            <w:tcMar>
              <w:left w:w="108" w:type="dxa"/>
              <w:right w:w="108" w:type="dxa"/>
            </w:tcMar>
            <w:vAlign w:val="center"/>
          </w:tcPr>
          <w:p w14:paraId="6A220C3F">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rPr>
                <w:highlight w:val="green"/>
              </w:rPr>
            </w:pPr>
            <w:r>
              <w:rPr>
                <w:rFonts w:hint="default" w:ascii="仿宋_GB2312" w:eastAsia="仿宋_GB2312" w:cs="仿宋_GB2312" w:hAnsiTheme="minorHAnsi"/>
                <w:b w:val="0"/>
                <w:bCs w:val="0"/>
                <w:kern w:val="0"/>
                <w:sz w:val="28"/>
                <w:szCs w:val="28"/>
                <w:highlight w:val="green"/>
                <w:lang w:val="en-US" w:eastAsia="zh-CN" w:bidi="ar"/>
              </w:rPr>
              <w:t>往往“一址多证”，注册地址为虚拟办公空间或同一地址，无实际经营人员与业务痕迹，现场仅存放少量办公用品，无实际经营活动。</w:t>
            </w:r>
          </w:p>
        </w:tc>
      </w:tr>
      <w:tr w14:paraId="6851920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781" w:hRule="atLeast"/>
          <w:jc w:val="center"/>
        </w:trPr>
        <w:tc>
          <w:tcPr>
            <w:tcW w:w="822" w:type="dxa"/>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14:paraId="080DF9EF">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b/>
                <w:bCs/>
                <w:kern w:val="0"/>
                <w:sz w:val="28"/>
                <w:szCs w:val="28"/>
                <w:lang w:val="en-US" w:eastAsia="zh-CN" w:bidi="ar"/>
              </w:rPr>
              <w:t>交易</w:t>
            </w:r>
          </w:p>
          <w:p w14:paraId="0EDEB8D7">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b/>
                <w:bCs/>
                <w:kern w:val="0"/>
                <w:sz w:val="28"/>
                <w:szCs w:val="28"/>
                <w:lang w:val="en-US" w:eastAsia="zh-CN" w:bidi="ar"/>
              </w:rPr>
              <w:t>是否</w:t>
            </w:r>
          </w:p>
          <w:p w14:paraId="5FD58A8B">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b/>
                <w:bCs/>
                <w:kern w:val="0"/>
                <w:sz w:val="28"/>
                <w:szCs w:val="28"/>
                <w:lang w:val="en-US" w:eastAsia="zh-CN" w:bidi="ar"/>
              </w:rPr>
              <w:t>公允</w:t>
            </w:r>
          </w:p>
        </w:tc>
        <w:tc>
          <w:tcPr>
            <w:tcW w:w="4240" w:type="dxa"/>
            <w:tcBorders>
              <w:top w:val="nil"/>
              <w:left w:val="nil"/>
              <w:bottom w:val="single" w:color="auto" w:sz="8" w:space="0"/>
              <w:right w:val="single" w:color="auto" w:sz="8" w:space="0"/>
            </w:tcBorders>
            <w:shd w:val="clear" w:color="auto" w:fill="auto"/>
            <w:tcMar>
              <w:left w:w="108" w:type="dxa"/>
              <w:right w:w="108" w:type="dxa"/>
            </w:tcMar>
            <w:vAlign w:val="center"/>
          </w:tcPr>
          <w:p w14:paraId="68827673">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kern w:val="0"/>
                <w:sz w:val="28"/>
                <w:szCs w:val="28"/>
                <w:lang w:val="en-US" w:eastAsia="zh-CN" w:bidi="ar"/>
              </w:rPr>
              <w:t>需遵循独立交易原则，商品销售价格、服务收费标准与市场同类交易一致，能够提供第三方报价单、行业公允数据等证明材料。</w:t>
            </w:r>
          </w:p>
        </w:tc>
        <w:tc>
          <w:tcPr>
            <w:tcW w:w="3596" w:type="dxa"/>
            <w:tcBorders>
              <w:top w:val="nil"/>
              <w:left w:val="nil"/>
              <w:bottom w:val="single" w:color="auto" w:sz="8" w:space="0"/>
              <w:right w:val="single" w:color="auto" w:sz="8" w:space="0"/>
            </w:tcBorders>
            <w:shd w:val="clear" w:color="auto" w:fill="auto"/>
            <w:tcMar>
              <w:left w:w="108" w:type="dxa"/>
              <w:right w:w="108" w:type="dxa"/>
            </w:tcMar>
            <w:vAlign w:val="center"/>
          </w:tcPr>
          <w:p w14:paraId="77ACA50E">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kern w:val="0"/>
                <w:sz w:val="28"/>
                <w:szCs w:val="28"/>
                <w:highlight w:val="green"/>
                <w:lang w:val="en-US" w:eastAsia="zh-CN" w:bidi="ar"/>
              </w:rPr>
              <w:t>通过低价销售、无偿服务等方式转移利润，通过利润转移实现整体税负降低。</w:t>
            </w:r>
          </w:p>
        </w:tc>
      </w:tr>
      <w:tr w14:paraId="28A73EB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781" w:hRule="atLeast"/>
          <w:jc w:val="center"/>
        </w:trPr>
        <w:tc>
          <w:tcPr>
            <w:tcW w:w="822" w:type="dxa"/>
            <w:tcBorders>
              <w:top w:val="nil"/>
              <w:left w:val="single" w:color="auto" w:sz="8" w:space="0"/>
              <w:bottom w:val="single" w:color="auto" w:sz="8" w:space="0"/>
              <w:right w:val="single" w:color="auto" w:sz="8" w:space="0"/>
            </w:tcBorders>
            <w:shd w:val="clear" w:color="auto" w:fill="auto"/>
            <w:tcMar>
              <w:left w:w="108" w:type="dxa"/>
              <w:right w:w="108" w:type="dxa"/>
            </w:tcMar>
            <w:vAlign w:val="center"/>
          </w:tcPr>
          <w:p w14:paraId="20269C99">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b/>
                <w:bCs/>
                <w:kern w:val="0"/>
                <w:sz w:val="28"/>
                <w:szCs w:val="28"/>
                <w:lang w:val="en-US" w:eastAsia="zh-CN" w:bidi="ar"/>
              </w:rPr>
              <w:t>主要</w:t>
            </w:r>
          </w:p>
          <w:p w14:paraId="35974413">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b/>
                <w:bCs/>
                <w:kern w:val="0"/>
                <w:sz w:val="28"/>
                <w:szCs w:val="28"/>
                <w:lang w:val="en-US" w:eastAsia="zh-CN" w:bidi="ar"/>
              </w:rPr>
              <w:t>类型</w:t>
            </w:r>
          </w:p>
        </w:tc>
        <w:tc>
          <w:tcPr>
            <w:tcW w:w="4240" w:type="dxa"/>
            <w:tcBorders>
              <w:top w:val="nil"/>
              <w:left w:val="nil"/>
              <w:bottom w:val="single" w:color="auto" w:sz="8" w:space="0"/>
              <w:right w:val="single" w:color="auto" w:sz="8" w:space="0"/>
            </w:tcBorders>
            <w:shd w:val="clear" w:color="auto" w:fill="auto"/>
            <w:tcMar>
              <w:left w:w="108" w:type="dxa"/>
              <w:right w:w="108" w:type="dxa"/>
            </w:tcMar>
            <w:vAlign w:val="center"/>
          </w:tcPr>
          <w:p w14:paraId="481ECB16">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kern w:val="0"/>
                <w:sz w:val="28"/>
                <w:szCs w:val="28"/>
                <w:lang w:val="en-US" w:eastAsia="zh-CN" w:bidi="ar"/>
              </w:rPr>
              <w:t>一是业务板块拆分。为实现精细化管理、专业化运营或聚焦核心业务，将不同业务板块（如研发、生产、销售、服务）拆分为独立的法人主体，各主体具备独立的组织架构、人员团队和业务范围，以提升管理效率和市场竞争力。如，家电制造商将智能家居研发业务拆分为独立子公司，专注技术创新与市场拓展。</w:t>
            </w:r>
          </w:p>
          <w:p w14:paraId="3D6E2F59">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kern w:val="0"/>
                <w:sz w:val="28"/>
                <w:szCs w:val="28"/>
                <w:lang w:val="en-US" w:eastAsia="zh-CN" w:bidi="ar"/>
              </w:rPr>
              <w:t>二是风险隔离拆分。为防范经营风险传导，将不同风险等级的业务拆分为独立的法人主体，实现业务隔离，也属于业务板块拆分的一种特殊情形。如，物流公司将危险品运输与普通货物运输业务分别设立公司，避免单一业务风险影响整体经营；制造企业将研发业务拆分成立独立的研发公司，分散研发失败风险。</w:t>
            </w:r>
          </w:p>
          <w:p w14:paraId="1FADEC48">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kern w:val="0"/>
                <w:sz w:val="28"/>
                <w:szCs w:val="28"/>
                <w:lang w:val="en-US" w:eastAsia="zh-CN" w:bidi="ar"/>
              </w:rPr>
              <w:t>三是区域拓展拆分。为拓展市场或享受特定区域政策（非税收优惠类），在不同区域设立子公司，拆分对应区域的业务收入。如，将不同地域的门店注册为独立经营主体，具备独立核算、自主管理的业务实质，各主体独立负责所在区域的经营活动，实现管理流程优化、降低管理成本、提高管理效能的目的。</w:t>
            </w:r>
          </w:p>
          <w:p w14:paraId="75D47CD5">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kern w:val="0"/>
                <w:sz w:val="28"/>
                <w:szCs w:val="28"/>
                <w:lang w:val="en-US" w:eastAsia="zh-CN" w:bidi="ar"/>
              </w:rPr>
              <w:t>四是资产剥离与重组拆分。企业为优化资产结构、提高资产运营效率或满足特定监管要求，将部分资产（连同相关业务和人员）剥离出去，成立独立的法人主体，实行运营收入独立核算，实现资产的专业化管理和高效利用，聚焦核心资产，满足上市公司合规要求或特定交易需求。</w:t>
            </w:r>
          </w:p>
          <w:p w14:paraId="3AC3DBDF">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kern w:val="0"/>
                <w:sz w:val="28"/>
                <w:szCs w:val="28"/>
                <w:lang w:val="en-US" w:eastAsia="zh-CN" w:bidi="ar"/>
              </w:rPr>
              <w:t>五是家族企业传承与股权激励拆分。家族企业为实现代际传承或对核心员工实施股权激励，将部分业务或资产通过合法的股权架构设计，分配给家族成员或激励对象设立的企业，从而明晰产权结构、激励核心员工，促进企业持续健康发展。</w:t>
            </w:r>
          </w:p>
        </w:tc>
        <w:tc>
          <w:tcPr>
            <w:tcW w:w="3596" w:type="dxa"/>
            <w:tcBorders>
              <w:top w:val="nil"/>
              <w:left w:val="nil"/>
              <w:bottom w:val="single" w:color="auto" w:sz="8" w:space="0"/>
              <w:right w:val="single" w:color="auto" w:sz="8" w:space="0"/>
            </w:tcBorders>
            <w:shd w:val="clear" w:color="auto" w:fill="auto"/>
            <w:tcMar>
              <w:left w:w="108" w:type="dxa"/>
              <w:right w:w="108" w:type="dxa"/>
            </w:tcMar>
            <w:vAlign w:val="center"/>
          </w:tcPr>
          <w:p w14:paraId="3B9BC353">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kern w:val="0"/>
                <w:sz w:val="28"/>
                <w:szCs w:val="28"/>
                <w:lang w:val="en-US" w:eastAsia="zh-CN" w:bidi="ar"/>
              </w:rPr>
              <w:t>1.主体拆分。通过设立关联企业、个体工商户甚至空壳企业等方式，将一个经营主体的经济活动拆分至多个主体，通过控制单一主体的经营规模，享受相应税收优惠政策。具体有以下两种形式：</w:t>
            </w:r>
          </w:p>
          <w:p w14:paraId="3658DF98">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rPr>
                <w:highlight w:val="green"/>
              </w:rPr>
            </w:pPr>
            <w:r>
              <w:rPr>
                <w:rFonts w:hint="default" w:ascii="仿宋_GB2312" w:eastAsia="仿宋_GB2312" w:cs="仿宋_GB2312" w:hAnsiTheme="minorHAnsi"/>
                <w:kern w:val="0"/>
                <w:sz w:val="28"/>
                <w:szCs w:val="28"/>
                <w:highlight w:val="green"/>
                <w:lang w:val="en-US" w:eastAsia="zh-CN" w:bidi="ar"/>
              </w:rPr>
              <w:t>一是一体同质拆分。同一控制主体设立多家经营范围高度同质化的主体，各主体表面上独立经营，实际上人员、场所、资产高度混同（典型现象是“一址多户”“一人多户”）；</w:t>
            </w:r>
          </w:p>
          <w:p w14:paraId="074117E4">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rPr>
                <w:highlight w:val="green"/>
              </w:rPr>
            </w:pPr>
            <w:r>
              <w:rPr>
                <w:rFonts w:hint="default" w:ascii="仿宋_GB2312" w:eastAsia="仿宋_GB2312" w:cs="仿宋_GB2312" w:hAnsiTheme="minorHAnsi"/>
                <w:kern w:val="0"/>
                <w:sz w:val="28"/>
                <w:szCs w:val="28"/>
                <w:highlight w:val="green"/>
                <w:lang w:val="en-US" w:eastAsia="zh-CN" w:bidi="ar"/>
              </w:rPr>
              <w:t>二是多户空壳拆分。同一实际控制人利用自身、家庭成员、员工等身份注册多家关联企业或个体工商户，并从事同类型业务，将整体业务拆分至各个经营主体，各主体无实际业务，仅作为收入拆分载体；</w:t>
            </w:r>
          </w:p>
          <w:p w14:paraId="3C2F4B02">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15" w:lineRule="atLeast"/>
              <w:ind w:left="0" w:right="0"/>
              <w:jc w:val="both"/>
            </w:pPr>
            <w:r>
              <w:rPr>
                <w:rFonts w:hint="default" w:ascii="仿宋_GB2312" w:eastAsia="仿宋_GB2312" w:cs="仿宋_GB2312" w:hAnsiTheme="minorHAnsi"/>
                <w:kern w:val="0"/>
                <w:sz w:val="28"/>
                <w:szCs w:val="28"/>
                <w:lang w:val="en-US" w:eastAsia="zh-CN" w:bidi="ar"/>
              </w:rPr>
              <w:t>2</w:t>
            </w:r>
            <w:bookmarkStart w:id="0" w:name="_GoBack"/>
            <w:r>
              <w:rPr>
                <w:rFonts w:hint="default" w:ascii="仿宋_GB2312" w:eastAsia="仿宋_GB2312" w:cs="仿宋_GB2312" w:hAnsiTheme="minorHAnsi"/>
                <w:kern w:val="0"/>
                <w:sz w:val="28"/>
                <w:szCs w:val="28"/>
                <w:highlight w:val="green"/>
                <w:lang w:val="en-US" w:eastAsia="zh-CN" w:bidi="ar"/>
              </w:rPr>
              <w:t>.合同拆分。通过虚增交易环节、分拆合同等方式，将一项金额较大或周期较长的业务，拆分为多个时间相近、金额较小（通常低于增值税起征点或小微企业优惠标准）的独立合同，或通过“中间商”主体分摊利润。</w:t>
            </w:r>
            <w:bookmarkEnd w:id="0"/>
          </w:p>
        </w:tc>
      </w:tr>
    </w:tbl>
    <w:p w14:paraId="141513D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socialshare">
    <w:altName w:val="Segoe Print"/>
    <w:panose1 w:val="00000000000000000000"/>
    <w:charset w:val="00"/>
    <w:family w:val="auto"/>
    <w:pitch w:val="default"/>
    <w:sig w:usb0="00000000" w:usb1="00000000" w:usb2="00000000" w:usb3="00000000" w:csb0="00000000" w:csb1="00000000"/>
  </w:font>
  <w:font w:name="HelveticaNeue LT 43 LightEx">
    <w:altName w:val="Segoe UI Semilight"/>
    <w:panose1 w:val="02000400000000000000"/>
    <w:charset w:val="00"/>
    <w:family w:val="auto"/>
    <w:pitch w:val="default"/>
    <w:sig w:usb0="00000000" w:usb1="00000000" w:usb2="00000000" w:usb3="00000000" w:csb0="00000001"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Semilight">
    <w:panose1 w:val="020B04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E8490A"/>
    <w:rsid w:val="738072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2432</Words>
  <Characters>2453</Characters>
  <Lines>0</Lines>
  <Paragraphs>0</Paragraphs>
  <TotalTime>18</TotalTime>
  <ScaleCrop>false</ScaleCrop>
  <LinksUpToDate>false</LinksUpToDate>
  <CharactersWithSpaces>2454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2026-03-06T08:44:00Z</dcterms:created>
  <dc:creator>wangchunfeng</dc:creator>
  <cp:lastModifiedBy>WPS_1679039829</cp:lastModifiedBy>
  <dcterms:modified xsi:type="dcterms:W3CDTF">2026-03-06T11:11:00Z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eyJoZGlkIjoiMGQyZWE4ZjRjMDc5NjBhZTJmODIyOGVkZThmYTJkMmIiLCJ1c2VySWQiOiIxNDgwOTM0MDkwIn0=</vt:lpwstr>
  </property>
  <property fmtid="{D5CDD505-2E9C-101B-9397-08002B2CF9AE}" pid="4" name="ICV">
    <vt:lpwstr>5B35CFD07D67434EBCE3CC4C7A2BD0D9_12</vt:lpwstr>
  </property>
</Properties>
</file>