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方正小标宋简体" w:eastAsia="方正小标宋简体"/>
          <w:sz w:val="44"/>
          <w:szCs w:val="44"/>
        </w:rPr>
      </w:pPr>
      <w:r>
        <w:rPr>
          <w:rFonts w:hint="eastAsia" w:ascii="方正小标宋简体" w:eastAsia="方正小标宋简体"/>
          <w:sz w:val="44"/>
          <w:szCs w:val="44"/>
        </w:rPr>
        <w:t>物业管理行业风险应对指引</w:t>
      </w:r>
    </w:p>
    <w:p>
      <w:pPr>
        <w:spacing w:line="580" w:lineRule="exact"/>
        <w:ind w:firstLine="640" w:firstLineChars="200"/>
        <w:rPr>
          <w:rFonts w:ascii="黑体" w:hAnsi="黑体" w:eastAsia="黑体"/>
          <w:kern w:val="0"/>
          <w:sz w:val="32"/>
          <w:szCs w:val="32"/>
        </w:rPr>
      </w:pPr>
      <w:r>
        <w:rPr>
          <w:rFonts w:hint="eastAsia" w:ascii="黑体" w:hAnsi="黑体" w:eastAsia="黑体"/>
          <w:kern w:val="0"/>
          <w:sz w:val="32"/>
          <w:szCs w:val="32"/>
        </w:rPr>
        <w:t>一、风险任务应对指引</w:t>
      </w:r>
    </w:p>
    <w:p>
      <w:pPr>
        <w:spacing w:line="580" w:lineRule="exact"/>
        <w:ind w:firstLine="640"/>
        <w:outlineLvl w:val="1"/>
        <w:rPr>
          <w:rFonts w:ascii="楷体_GB2312" w:hAnsi="Times New Roman" w:eastAsia="楷体_GB2312"/>
          <w:b/>
          <w:kern w:val="0"/>
          <w:sz w:val="32"/>
          <w:szCs w:val="32"/>
        </w:rPr>
      </w:pPr>
      <w:r>
        <w:rPr>
          <w:rFonts w:hint="eastAsia" w:ascii="楷体_GB2312" w:hAnsi="Times New Roman" w:eastAsia="楷体_GB2312"/>
          <w:b/>
          <w:kern w:val="0"/>
          <w:sz w:val="32"/>
          <w:szCs w:val="32"/>
        </w:rPr>
        <w:t>（一）了解企业基本情况</w:t>
      </w:r>
    </w:p>
    <w:p>
      <w:pPr>
        <w:adjustRightInd w:val="0"/>
        <w:snapToGrid w:val="0"/>
        <w:spacing w:line="580" w:lineRule="exact"/>
        <w:ind w:firstLine="640" w:firstLineChars="200"/>
        <w:rPr>
          <w:rFonts w:ascii="仿宋_GB2312" w:hAnsi="宋体" w:eastAsia="仿宋_GB2312" w:cs="Times New Roman"/>
          <w:sz w:val="32"/>
          <w:szCs w:val="32"/>
        </w:rPr>
      </w:pPr>
      <w:r>
        <w:rPr>
          <w:rFonts w:hint="eastAsia" w:ascii="仿宋_GB2312" w:hAnsi="宋体" w:eastAsia="仿宋_GB2312" w:cs="Times New Roman"/>
          <w:sz w:val="32"/>
          <w:szCs w:val="32"/>
        </w:rPr>
        <w:t>通过市局提供的住建局小区基本信息、网签数据及互联网上百度地图、“房天下”等信息，了解物业公司管理的所有小区的基本情况，包括每个小区有多少住宅楼、公寓、写字楼和商铺，面积是多少，物业费收取标准是多少。</w:t>
      </w:r>
    </w:p>
    <w:p>
      <w:pPr>
        <w:spacing w:line="580" w:lineRule="exact"/>
        <w:ind w:firstLine="640"/>
        <w:outlineLvl w:val="1"/>
        <w:rPr>
          <w:rFonts w:ascii="楷体_GB2312" w:hAnsi="Times New Roman" w:eastAsia="楷体_GB2312"/>
          <w:b/>
          <w:kern w:val="0"/>
          <w:sz w:val="32"/>
          <w:szCs w:val="32"/>
        </w:rPr>
      </w:pPr>
      <w:r>
        <w:rPr>
          <w:rFonts w:hint="eastAsia" w:ascii="楷体_GB2312" w:hAnsi="Times New Roman" w:eastAsia="楷体_GB2312"/>
          <w:b/>
          <w:kern w:val="0"/>
          <w:sz w:val="32"/>
          <w:szCs w:val="32"/>
        </w:rPr>
        <w:t>（二）测算物业费等相关收入</w:t>
      </w:r>
    </w:p>
    <w:p>
      <w:pPr>
        <w:adjustRightInd w:val="0"/>
        <w:snapToGrid w:val="0"/>
        <w:spacing w:line="580" w:lineRule="exact"/>
        <w:ind w:firstLine="640" w:firstLineChars="200"/>
        <w:rPr>
          <w:rFonts w:ascii="仿宋_GB2312" w:hAnsi="宋体" w:eastAsia="仿宋_GB2312" w:cs="Times New Roman"/>
          <w:sz w:val="32"/>
          <w:szCs w:val="32"/>
        </w:rPr>
      </w:pPr>
      <w:r>
        <w:rPr>
          <w:rFonts w:hint="eastAsia" w:ascii="仿宋_GB2312" w:hAnsi="宋体" w:eastAsia="仿宋_GB2312" w:cs="Times New Roman"/>
          <w:sz w:val="32"/>
          <w:szCs w:val="32"/>
        </w:rPr>
        <w:t>结合物业公司的小区物业费收取台账、停车费收取台账等资料，根据物业费、停车费、水电费、广告费等的收取标准，测算物业公司的收入情况。特别是物业费等无票收入情况与企业申报的无票收入数据进行比对。</w:t>
      </w:r>
    </w:p>
    <w:p>
      <w:pPr>
        <w:spacing w:line="580" w:lineRule="exact"/>
        <w:ind w:firstLine="640"/>
        <w:outlineLvl w:val="1"/>
        <w:rPr>
          <w:rFonts w:ascii="楷体_GB2312" w:hAnsi="Times New Roman" w:eastAsia="楷体_GB2312"/>
          <w:b/>
          <w:kern w:val="0"/>
          <w:sz w:val="32"/>
          <w:szCs w:val="32"/>
        </w:rPr>
      </w:pPr>
      <w:r>
        <w:rPr>
          <w:rFonts w:hint="eastAsia" w:ascii="楷体_GB2312" w:hAnsi="Times New Roman" w:eastAsia="楷体_GB2312"/>
          <w:b/>
          <w:kern w:val="0"/>
          <w:sz w:val="32"/>
          <w:szCs w:val="32"/>
        </w:rPr>
        <w:t>（三）实地查验</w:t>
      </w:r>
    </w:p>
    <w:p>
      <w:pPr>
        <w:adjustRightInd w:val="0"/>
        <w:snapToGrid w:val="0"/>
        <w:spacing w:line="580" w:lineRule="exact"/>
        <w:ind w:firstLine="640" w:firstLineChars="200"/>
        <w:rPr>
          <w:rFonts w:ascii="仿宋_GB2312" w:hAnsi="宋体" w:eastAsia="仿宋_GB2312" w:cs="Times New Roman"/>
          <w:sz w:val="32"/>
          <w:szCs w:val="32"/>
        </w:rPr>
      </w:pPr>
      <w:r>
        <w:rPr>
          <w:rFonts w:hint="eastAsia" w:ascii="仿宋_GB2312" w:hAnsi="宋体" w:eastAsia="仿宋_GB2312" w:cs="Times New Roman"/>
          <w:sz w:val="32"/>
          <w:szCs w:val="32"/>
        </w:rPr>
        <w:t>实地查验小区的基本情况，包括居民住宅楼、公寓、写字楼、商铺、停车场、地下室等的情况，查看账簿、凭证、合同等资料，是否存在少计收入等情况。</w:t>
      </w:r>
    </w:p>
    <w:p>
      <w:pPr>
        <w:adjustRightInd w:val="0"/>
        <w:snapToGrid w:val="0"/>
        <w:spacing w:line="580" w:lineRule="exact"/>
        <w:ind w:firstLine="640" w:firstLineChars="200"/>
        <w:rPr>
          <w:rFonts w:ascii="仿宋_GB2312" w:hAnsi="宋体" w:eastAsia="仿宋_GB2312" w:cs="Times New Roman"/>
          <w:sz w:val="32"/>
          <w:szCs w:val="32"/>
        </w:rPr>
      </w:pPr>
      <w:r>
        <w:rPr>
          <w:rFonts w:hint="eastAsia" w:ascii="仿宋_GB2312" w:hAnsi="宋体" w:eastAsia="仿宋_GB2312" w:cs="Times New Roman"/>
          <w:sz w:val="32"/>
          <w:szCs w:val="32"/>
        </w:rPr>
        <w:t>实地查验物业公司无偿占用小区业主共有的小区公共配套设施物业用房作为办公用房从事日常经营活动等情况。</w:t>
      </w:r>
    </w:p>
    <w:p>
      <w:pPr>
        <w:spacing w:line="580" w:lineRule="exact"/>
        <w:ind w:firstLine="640"/>
        <w:outlineLvl w:val="1"/>
        <w:rPr>
          <w:rFonts w:ascii="楷体_GB2312" w:hAnsi="Times New Roman" w:eastAsia="楷体_GB2312"/>
          <w:b/>
          <w:kern w:val="0"/>
          <w:sz w:val="32"/>
          <w:szCs w:val="32"/>
        </w:rPr>
      </w:pPr>
      <w:r>
        <w:rPr>
          <w:rFonts w:hint="eastAsia" w:ascii="楷体_GB2312" w:hAnsi="Times New Roman" w:eastAsia="楷体_GB2312"/>
          <w:b/>
          <w:kern w:val="0"/>
          <w:sz w:val="32"/>
          <w:szCs w:val="32"/>
        </w:rPr>
        <w:t>（四）与房地产公司涉税衔接问题</w:t>
      </w:r>
    </w:p>
    <w:p>
      <w:pPr>
        <w:adjustRightInd w:val="0"/>
        <w:snapToGrid w:val="0"/>
        <w:spacing w:line="580" w:lineRule="exact"/>
        <w:ind w:firstLine="640" w:firstLineChars="200"/>
        <w:rPr>
          <w:rFonts w:ascii="仿宋_GB2312" w:hAnsi="宋体" w:eastAsia="仿宋_GB2312" w:cs="Times New Roman"/>
          <w:sz w:val="32"/>
          <w:szCs w:val="32"/>
        </w:rPr>
      </w:pPr>
      <w:r>
        <w:rPr>
          <w:rFonts w:hint="eastAsia" w:ascii="仿宋_GB2312" w:hAnsi="宋体" w:eastAsia="仿宋_GB2312" w:cs="Times New Roman"/>
          <w:sz w:val="32"/>
          <w:szCs w:val="32"/>
        </w:rPr>
        <w:t>公寓、写字楼、商铺是否存在没有网签或没有卖出的，实际已经出租使用的情况，应交房产税，应由产权所有人房地产开发有限公司缴纳房产税。风险应对人员可以通过区局风险管理部门上报市局，对相关的房地产开发有限公司下发风险任务。</w:t>
      </w:r>
    </w:p>
    <w:p>
      <w:pPr>
        <w:spacing w:line="580" w:lineRule="exact"/>
        <w:ind w:firstLine="640"/>
        <w:outlineLvl w:val="1"/>
        <w:rPr>
          <w:rFonts w:ascii="楷体_GB2312" w:hAnsi="Times New Roman" w:eastAsia="楷体_GB2312"/>
          <w:b/>
          <w:kern w:val="0"/>
          <w:sz w:val="32"/>
          <w:szCs w:val="32"/>
        </w:rPr>
      </w:pPr>
      <w:r>
        <w:rPr>
          <w:rFonts w:hint="eastAsia" w:ascii="楷体_GB2312" w:hAnsi="Times New Roman" w:eastAsia="楷体_GB2312"/>
          <w:b/>
          <w:kern w:val="0"/>
          <w:sz w:val="32"/>
          <w:szCs w:val="32"/>
        </w:rPr>
        <w:t>（五）核查广告费、停车费</w:t>
      </w:r>
    </w:p>
    <w:p>
      <w:pPr>
        <w:adjustRightInd w:val="0"/>
        <w:snapToGrid w:val="0"/>
        <w:spacing w:line="580" w:lineRule="exact"/>
        <w:ind w:firstLine="640" w:firstLineChars="200"/>
        <w:rPr>
          <w:rFonts w:ascii="仿宋_GB2312" w:hAnsi="宋体" w:eastAsia="仿宋_GB2312" w:cs="Times New Roman"/>
          <w:sz w:val="32"/>
          <w:szCs w:val="32"/>
        </w:rPr>
      </w:pPr>
      <w:r>
        <w:rPr>
          <w:rFonts w:hint="eastAsia" w:ascii="仿宋_GB2312" w:hAnsi="宋体" w:eastAsia="仿宋_GB2312" w:cs="Times New Roman"/>
          <w:sz w:val="32"/>
          <w:szCs w:val="32"/>
        </w:rPr>
        <w:t>核查物业公司提供电梯广告、墙体广告，收取的停车管理费、车辆停放服务、道路通行服务（包括过路费、过桥费、过闸费等）等是否按照不动产经营租赁服务缴纳增值税。</w:t>
      </w:r>
    </w:p>
    <w:p>
      <w:pPr>
        <w:spacing w:line="580" w:lineRule="exact"/>
        <w:ind w:firstLine="640"/>
        <w:outlineLvl w:val="1"/>
        <w:rPr>
          <w:rFonts w:ascii="楷体_GB2312" w:hAnsi="Times New Roman" w:eastAsia="楷体_GB2312"/>
          <w:b/>
          <w:kern w:val="0"/>
          <w:sz w:val="32"/>
          <w:szCs w:val="32"/>
        </w:rPr>
      </w:pPr>
      <w:r>
        <w:rPr>
          <w:rFonts w:hint="eastAsia" w:ascii="楷体_GB2312" w:hAnsi="Times New Roman" w:eastAsia="楷体_GB2312"/>
          <w:b/>
          <w:kern w:val="0"/>
          <w:sz w:val="32"/>
          <w:szCs w:val="32"/>
        </w:rPr>
        <w:t>（六）其他</w:t>
      </w:r>
    </w:p>
    <w:p>
      <w:pPr>
        <w:spacing w:line="580" w:lineRule="exact"/>
        <w:ind w:firstLine="640" w:firstLineChars="200"/>
        <w:rPr>
          <w:rFonts w:ascii="仿宋_GB2312" w:hAnsi="宋体" w:eastAsia="仿宋_GB2312" w:cs="Times New Roman"/>
          <w:sz w:val="32"/>
          <w:szCs w:val="32"/>
        </w:rPr>
      </w:pPr>
      <w:r>
        <w:rPr>
          <w:rFonts w:hint="eastAsia" w:ascii="仿宋_GB2312" w:hAnsi="宋体" w:eastAsia="仿宋_GB2312" w:cs="Times New Roman"/>
          <w:sz w:val="32"/>
          <w:szCs w:val="32"/>
        </w:rPr>
        <w:t>其他的事项可以参考《物业行业核查模板》涉及的事项，分别进行核查。</w:t>
      </w:r>
    </w:p>
    <w:p>
      <w:pPr>
        <w:spacing w:line="580" w:lineRule="exact"/>
        <w:ind w:firstLine="640" w:firstLineChars="200"/>
        <w:rPr>
          <w:rFonts w:ascii="黑体" w:hAnsi="黑体" w:eastAsia="黑体"/>
          <w:kern w:val="0"/>
          <w:sz w:val="32"/>
          <w:szCs w:val="32"/>
        </w:rPr>
      </w:pPr>
      <w:r>
        <w:rPr>
          <w:rFonts w:hint="eastAsia" w:ascii="黑体" w:hAnsi="黑体" w:eastAsia="黑体"/>
          <w:kern w:val="0"/>
          <w:sz w:val="32"/>
          <w:szCs w:val="32"/>
        </w:rPr>
        <w:t>二、物业管理公司主要风险疑点</w:t>
      </w:r>
    </w:p>
    <w:p>
      <w:pPr>
        <w:spacing w:line="580" w:lineRule="exact"/>
        <w:ind w:firstLine="643" w:firstLineChars="200"/>
        <w:rPr>
          <w:rFonts w:ascii="楷体_GB2312" w:hAnsi="Times New Roman" w:eastAsia="楷体_GB2312"/>
          <w:b/>
          <w:kern w:val="0"/>
          <w:sz w:val="32"/>
          <w:szCs w:val="32"/>
        </w:rPr>
      </w:pPr>
      <w:r>
        <w:rPr>
          <w:rFonts w:hint="eastAsia" w:ascii="楷体_GB2312" w:hAnsi="Times New Roman" w:eastAsia="楷体_GB2312"/>
          <w:b/>
          <w:kern w:val="0"/>
          <w:sz w:val="32"/>
          <w:szCs w:val="32"/>
        </w:rPr>
        <w:t>指标1：有城镇垃圾处理费入库金额未申报增值税收入</w:t>
      </w:r>
    </w:p>
    <w:p>
      <w:pPr>
        <w:spacing w:line="580" w:lineRule="exact"/>
        <w:ind w:firstLine="640" w:firstLineChars="200"/>
        <w:rPr>
          <w:rFonts w:ascii="仿宋_GB2312" w:hAnsi="仿宋" w:eastAsia="仿宋_GB2312"/>
          <w:sz w:val="32"/>
          <w:szCs w:val="32"/>
        </w:rPr>
      </w:pPr>
      <w:r>
        <w:rPr>
          <w:rFonts w:hint="eastAsia" w:ascii="仿宋_GB2312" w:hAnsi="仿宋" w:eastAsia="仿宋_GB2312"/>
          <w:sz w:val="32"/>
          <w:szCs w:val="32"/>
        </w:rPr>
        <w:t>【指标公式】2021年、2022年城镇垃圾处理费</w:t>
      </w:r>
      <w:r>
        <w:rPr>
          <w:rFonts w:hint="eastAsia" w:ascii="宋体" w:hAnsi="宋体" w:eastAsia="宋体" w:cs="宋体"/>
          <w:sz w:val="32"/>
          <w:szCs w:val="32"/>
        </w:rPr>
        <w:t>&gt;=</w:t>
      </w:r>
      <w:r>
        <w:rPr>
          <w:rFonts w:hint="eastAsia" w:ascii="仿宋_GB2312" w:hAnsi="仿宋" w:eastAsia="仿宋_GB2312"/>
          <w:sz w:val="32"/>
          <w:szCs w:val="32"/>
        </w:rPr>
        <w:t>10000元，增值税及附加税费申报表中一般计税方法6%税率销售额=0或应征增值税不含税销售额（3%征收率）+免税销售额=0</w:t>
      </w:r>
    </w:p>
    <w:p>
      <w:pPr>
        <w:spacing w:line="580" w:lineRule="exact"/>
        <w:ind w:firstLine="640" w:firstLineChars="200"/>
        <w:rPr>
          <w:rFonts w:ascii="仿宋_GB2312" w:hAnsi="仿宋" w:eastAsia="仿宋_GB2312"/>
          <w:sz w:val="32"/>
          <w:szCs w:val="32"/>
        </w:rPr>
      </w:pPr>
      <w:r>
        <w:rPr>
          <w:rFonts w:hint="eastAsia" w:ascii="仿宋_GB2312" w:hAnsi="仿宋" w:eastAsia="仿宋_GB2312"/>
          <w:sz w:val="32"/>
          <w:szCs w:val="32"/>
        </w:rPr>
        <w:t>【数据来源】增值税电子底账管理系统发票信息，金税三期入库税款，金税三期增值税申报表中增值税及附加税费申报表附列资料一（本期销售情况明细表），增值税及附加税费申报表（小规模纳税人适用）附列资料（一）（服务、不动产和无形资产扣除项目明细）</w:t>
      </w:r>
    </w:p>
    <w:p>
      <w:pPr>
        <w:spacing w:line="580" w:lineRule="exact"/>
        <w:ind w:firstLine="640" w:firstLineChars="200"/>
        <w:rPr>
          <w:rFonts w:ascii="仿宋_GB2312" w:hAnsi="仿宋" w:eastAsia="仿宋_GB2312"/>
          <w:sz w:val="32"/>
          <w:szCs w:val="32"/>
        </w:rPr>
      </w:pPr>
      <w:r>
        <w:rPr>
          <w:rFonts w:hint="eastAsia" w:ascii="仿宋_GB2312" w:hAnsi="仿宋" w:eastAsia="仿宋_GB2312"/>
          <w:sz w:val="32"/>
          <w:szCs w:val="32"/>
        </w:rPr>
        <w:t>【风险指向】《根据河北省城市生活垃圾处理费收费管理办法》有关规定，设区的市、县城以及3万人以上的重点镇和独立工矿区全部开征城市生活垃圾处理费，该费用可由物业服务单位代收代缴。物业公司有城镇垃圾处理费入库的年度一定有相应的物业管理服务对象，应申报相应的物业管理服务收入。</w:t>
      </w:r>
    </w:p>
    <w:p>
      <w:pPr>
        <w:spacing w:line="580" w:lineRule="exact"/>
        <w:ind w:firstLine="640"/>
        <w:outlineLvl w:val="1"/>
        <w:rPr>
          <w:rFonts w:ascii="仿宋_GB2312" w:hAnsi="仿宋" w:eastAsia="仿宋_GB2312"/>
          <w:sz w:val="32"/>
          <w:szCs w:val="32"/>
        </w:rPr>
      </w:pPr>
      <w:r>
        <w:rPr>
          <w:rFonts w:hint="eastAsia" w:ascii="仿宋_GB2312" w:hAnsi="仿宋" w:eastAsia="仿宋_GB2312"/>
          <w:sz w:val="32"/>
          <w:szCs w:val="32"/>
        </w:rPr>
        <w:t>【应对指引】核查企业实际管理的小区规模，核实该企业实际收取的费用标准和金额，与申报的收入情况进行比对，确定少申报增值税收入的金额。</w:t>
      </w:r>
    </w:p>
    <w:p>
      <w:pPr>
        <w:spacing w:line="580" w:lineRule="exact"/>
        <w:ind w:firstLine="640"/>
        <w:outlineLvl w:val="1"/>
        <w:rPr>
          <w:rFonts w:ascii="楷体_GB2312" w:hAnsi="Times New Roman" w:eastAsia="楷体_GB2312"/>
          <w:b/>
          <w:kern w:val="0"/>
          <w:sz w:val="32"/>
          <w:szCs w:val="32"/>
        </w:rPr>
      </w:pPr>
      <w:r>
        <w:rPr>
          <w:rFonts w:hint="eastAsia" w:ascii="楷体_GB2312" w:hAnsi="Times New Roman" w:eastAsia="楷体_GB2312"/>
          <w:b/>
          <w:kern w:val="0"/>
          <w:sz w:val="32"/>
          <w:szCs w:val="32"/>
        </w:rPr>
        <w:t>指标2：无票成本金额或占比较大</w:t>
      </w:r>
    </w:p>
    <w:p>
      <w:pPr>
        <w:spacing w:line="580" w:lineRule="exact"/>
        <w:ind w:firstLine="640" w:firstLineChars="200"/>
        <w:rPr>
          <w:rFonts w:ascii="仿宋_GB2312" w:hAnsi="仿宋" w:eastAsia="仿宋_GB2312"/>
          <w:sz w:val="32"/>
          <w:szCs w:val="32"/>
        </w:rPr>
      </w:pPr>
      <w:r>
        <w:rPr>
          <w:rFonts w:hint="eastAsia" w:ascii="仿宋_GB2312" w:hAnsi="仿宋" w:eastAsia="仿宋_GB2312"/>
          <w:sz w:val="32"/>
          <w:szCs w:val="32"/>
        </w:rPr>
        <w:t>【指标公式】（企业所得税年报表主表“营业成本”+“销售费用”+“管理费用”-当年取得全部正常状态发票金额-ITS系统工资薪金所得个人所得税预扣预缴信息-本年折旧、摊销额）&gt;=100万且（企业所得税年报表主表“营业成本”+“销售费用”+“管理费用”-当年取得全部正常状态发票金额-ITS系统工资薪金所得个人所得税预扣预缴信息-本年折旧、摊销额）÷（“营业成本”+“销售费用”+“管理费用”）＞=30%。</w:t>
      </w:r>
    </w:p>
    <w:p>
      <w:pPr>
        <w:spacing w:line="580" w:lineRule="exact"/>
        <w:ind w:firstLine="640" w:firstLineChars="200"/>
        <w:rPr>
          <w:rFonts w:ascii="仿宋_GB2312" w:hAnsi="仿宋" w:eastAsia="仿宋_GB2312"/>
          <w:sz w:val="32"/>
          <w:szCs w:val="32"/>
        </w:rPr>
      </w:pPr>
      <w:r>
        <w:rPr>
          <w:rFonts w:hint="eastAsia" w:ascii="仿宋_GB2312" w:hAnsi="仿宋" w:eastAsia="仿宋_GB2312"/>
          <w:sz w:val="32"/>
          <w:szCs w:val="32"/>
        </w:rPr>
        <w:t>【数据来源】“金税三期”系统企业所得税年度申报表信息，电子底账系统发票信息。</w:t>
      </w:r>
    </w:p>
    <w:p>
      <w:pPr>
        <w:spacing w:line="580" w:lineRule="exact"/>
        <w:ind w:firstLine="640" w:firstLineChars="200"/>
        <w:rPr>
          <w:rFonts w:ascii="仿宋_GB2312" w:hAnsi="仿宋" w:eastAsia="仿宋_GB2312"/>
          <w:sz w:val="32"/>
          <w:szCs w:val="32"/>
        </w:rPr>
      </w:pPr>
      <w:r>
        <w:rPr>
          <w:rFonts w:hint="eastAsia" w:ascii="仿宋_GB2312" w:hAnsi="仿宋" w:eastAsia="仿宋_GB2312"/>
          <w:sz w:val="32"/>
          <w:szCs w:val="32"/>
        </w:rPr>
        <w:t>【风险指向】物业公司可能存在白条入账问题，列支成本不符合《企业所得税税前扣除凭证管理规范》要求，不得税前扣除。</w:t>
      </w:r>
    </w:p>
    <w:p>
      <w:pPr>
        <w:spacing w:line="580" w:lineRule="exact"/>
        <w:ind w:firstLine="640" w:firstLineChars="200"/>
        <w:rPr>
          <w:rFonts w:ascii="仿宋_GB2312" w:hAnsi="仿宋" w:eastAsia="仿宋_GB2312"/>
          <w:sz w:val="32"/>
          <w:szCs w:val="32"/>
        </w:rPr>
      </w:pPr>
      <w:r>
        <w:rPr>
          <w:rFonts w:hint="eastAsia" w:ascii="仿宋_GB2312" w:hAnsi="仿宋" w:eastAsia="仿宋_GB2312"/>
          <w:sz w:val="32"/>
          <w:szCs w:val="32"/>
        </w:rPr>
        <w:t>【应对指引】要求纳税人提供非发票税前列支的相关资料，包括内部凭证、外部凭证，存在问题的要求纳税人及时补开换开，无法按照《企业所得税税前扣除凭证管理规范》要求完成的不得税前扣除。</w:t>
      </w:r>
    </w:p>
    <w:p>
      <w:pPr>
        <w:spacing w:line="580" w:lineRule="exact"/>
        <w:ind w:firstLine="640"/>
        <w:outlineLvl w:val="1"/>
        <w:rPr>
          <w:rFonts w:ascii="楷体_GB2312" w:hAnsi="Times New Roman" w:eastAsia="楷体_GB2312"/>
          <w:b/>
          <w:kern w:val="0"/>
          <w:sz w:val="32"/>
          <w:szCs w:val="32"/>
        </w:rPr>
      </w:pPr>
      <w:r>
        <w:rPr>
          <w:rFonts w:hint="eastAsia" w:ascii="楷体_GB2312" w:hAnsi="Times New Roman" w:eastAsia="楷体_GB2312"/>
          <w:b/>
          <w:kern w:val="0"/>
          <w:sz w:val="32"/>
          <w:szCs w:val="32"/>
        </w:rPr>
        <w:t>指标3：两税收入不一致</w:t>
      </w:r>
    </w:p>
    <w:p>
      <w:pPr>
        <w:spacing w:line="580" w:lineRule="exact"/>
        <w:ind w:firstLine="640" w:firstLineChars="200"/>
        <w:rPr>
          <w:rFonts w:ascii="仿宋_GB2312" w:hAnsi="仿宋" w:eastAsia="仿宋_GB2312"/>
          <w:sz w:val="32"/>
          <w:szCs w:val="32"/>
        </w:rPr>
      </w:pPr>
      <w:r>
        <w:rPr>
          <w:rFonts w:hint="eastAsia" w:ascii="仿宋_GB2312" w:hAnsi="仿宋" w:eastAsia="仿宋_GB2312"/>
          <w:sz w:val="32"/>
          <w:szCs w:val="32"/>
        </w:rPr>
        <w:t>【指标公式】两税差额&gt;=50万，且增值税销售收入/企业所得税销售收入&lt;0.8或增值税销售收入/企业所得税销售收入&gt;1.2</w:t>
      </w:r>
    </w:p>
    <w:p>
      <w:pPr>
        <w:spacing w:line="580" w:lineRule="exact"/>
        <w:ind w:firstLine="640" w:firstLineChars="200"/>
        <w:rPr>
          <w:rFonts w:ascii="仿宋_GB2312" w:hAnsi="仿宋" w:eastAsia="仿宋_GB2312"/>
          <w:sz w:val="32"/>
          <w:szCs w:val="32"/>
        </w:rPr>
      </w:pPr>
      <w:r>
        <w:rPr>
          <w:rFonts w:hint="eastAsia" w:ascii="仿宋_GB2312" w:hAnsi="仿宋" w:eastAsia="仿宋_GB2312"/>
          <w:sz w:val="32"/>
          <w:szCs w:val="32"/>
        </w:rPr>
        <w:t>【数据来源】金税三期系统增值税申报信息，金税三期系统企业所得税申报信息。</w:t>
      </w:r>
    </w:p>
    <w:p>
      <w:pPr>
        <w:spacing w:line="580" w:lineRule="exact"/>
        <w:ind w:firstLine="640" w:firstLineChars="200"/>
        <w:rPr>
          <w:rFonts w:ascii="仿宋_GB2312" w:hAnsi="仿宋" w:eastAsia="仿宋_GB2312"/>
          <w:sz w:val="32"/>
          <w:szCs w:val="32"/>
        </w:rPr>
      </w:pPr>
      <w:r>
        <w:rPr>
          <w:rFonts w:hint="eastAsia" w:ascii="仿宋_GB2312" w:hAnsi="仿宋" w:eastAsia="仿宋_GB2312"/>
          <w:sz w:val="32"/>
          <w:szCs w:val="32"/>
        </w:rPr>
        <w:t>【风险指向】一般情况下，两税收入应当一致。增值税销售收入大于企业所得税销售收入时，一般认为可能存在人为少计所得税收入的问题（固定资产清理等收入除外），所得税销售收入大于增值税销售收入的，可能存在无票收入未及时申报增值税问题。</w:t>
      </w:r>
    </w:p>
    <w:p>
      <w:pPr>
        <w:spacing w:line="580" w:lineRule="exact"/>
        <w:ind w:firstLine="640"/>
        <w:outlineLvl w:val="1"/>
        <w:rPr>
          <w:rFonts w:ascii="仿宋_GB2312" w:hAnsi="仿宋" w:eastAsia="仿宋_GB2312"/>
          <w:sz w:val="32"/>
          <w:szCs w:val="32"/>
        </w:rPr>
      </w:pPr>
      <w:r>
        <w:rPr>
          <w:rFonts w:hint="eastAsia" w:ascii="仿宋_GB2312" w:hAnsi="仿宋" w:eastAsia="仿宋_GB2312"/>
          <w:sz w:val="32"/>
          <w:szCs w:val="32"/>
        </w:rPr>
        <w:t>【应对指引】重点核查造成两税收入不一致的原因是否正常，是否存在固定资产清理、补贴收入、营业外收入、收入确认时点不一致等正常原因造成两税收入不一致的情况。排除正常原因造成两税收入不一致的情况，又不能做出合理解释的，存在少缴税款的可能性较大。</w:t>
      </w:r>
    </w:p>
    <w:p>
      <w:pPr>
        <w:spacing w:line="580" w:lineRule="exact"/>
        <w:ind w:firstLine="640"/>
        <w:outlineLvl w:val="1"/>
        <w:rPr>
          <w:rFonts w:ascii="楷体_GB2312" w:hAnsi="Times New Roman" w:eastAsia="楷体_GB2312"/>
          <w:b/>
          <w:kern w:val="0"/>
          <w:sz w:val="32"/>
          <w:szCs w:val="32"/>
        </w:rPr>
      </w:pPr>
      <w:r>
        <w:rPr>
          <w:rFonts w:hint="eastAsia" w:ascii="楷体_GB2312" w:hAnsi="Times New Roman" w:eastAsia="楷体_GB2312"/>
          <w:b/>
          <w:kern w:val="0"/>
          <w:sz w:val="32"/>
          <w:szCs w:val="32"/>
        </w:rPr>
        <w:t>指标4：有不动产租赁收入，无房产税入库</w:t>
      </w:r>
    </w:p>
    <w:p>
      <w:pPr>
        <w:spacing w:line="580" w:lineRule="exact"/>
        <w:ind w:firstLine="700"/>
        <w:rPr>
          <w:rFonts w:ascii="仿宋_GB2312" w:eastAsia="仿宋_GB2312"/>
          <w:sz w:val="32"/>
          <w:szCs w:val="32"/>
        </w:rPr>
      </w:pPr>
      <w:r>
        <w:rPr>
          <w:rFonts w:hint="eastAsia" w:ascii="仿宋_GB2312" w:hAnsi="仿宋" w:eastAsia="仿宋_GB2312"/>
          <w:sz w:val="32"/>
          <w:szCs w:val="32"/>
        </w:rPr>
        <w:t>【指标公式】</w:t>
      </w:r>
      <w:r>
        <w:rPr>
          <w:rFonts w:hint="eastAsia" w:ascii="仿宋_GB2312" w:eastAsia="仿宋_GB2312"/>
          <w:sz w:val="32"/>
          <w:szCs w:val="32"/>
        </w:rPr>
        <w:t>提取</w:t>
      </w:r>
      <w:r>
        <w:rPr>
          <w:rFonts w:hint="eastAsia" w:ascii="仿宋_GB2312" w:eastAsia="仿宋_GB2312"/>
          <w:b/>
          <w:sz w:val="32"/>
          <w:szCs w:val="32"/>
        </w:rPr>
        <w:t>开具</w:t>
      </w:r>
      <w:r>
        <w:rPr>
          <w:rFonts w:hint="eastAsia" w:ascii="仿宋_GB2312" w:eastAsia="仿宋_GB2312"/>
          <w:sz w:val="32"/>
          <w:szCs w:val="32"/>
        </w:rPr>
        <w:t xml:space="preserve"> “不动产经营租赁发票”&gt;=100000元,接收不动产租赁发票为0且房产税入库为0的纳税人。</w:t>
      </w:r>
    </w:p>
    <w:p>
      <w:pPr>
        <w:spacing w:line="580" w:lineRule="exact"/>
        <w:ind w:firstLine="640" w:firstLineChars="200"/>
        <w:rPr>
          <w:rFonts w:ascii="仿宋_GB2312" w:hAnsi="仿宋" w:eastAsia="仿宋_GB2312"/>
          <w:sz w:val="32"/>
          <w:szCs w:val="32"/>
        </w:rPr>
      </w:pPr>
      <w:r>
        <w:rPr>
          <w:rFonts w:hint="eastAsia" w:ascii="仿宋_GB2312" w:hAnsi="仿宋" w:eastAsia="仿宋_GB2312"/>
          <w:sz w:val="32"/>
          <w:szCs w:val="32"/>
        </w:rPr>
        <w:t>【数据来源】“金税三期”系统房产税入库信息，电子底账系统发票信息。</w:t>
      </w:r>
    </w:p>
    <w:p>
      <w:pPr>
        <w:spacing w:line="580" w:lineRule="exact"/>
        <w:ind w:firstLine="640" w:firstLineChars="200"/>
        <w:rPr>
          <w:rFonts w:ascii="仿宋_GB2312" w:hAnsi="仿宋" w:eastAsia="仿宋_GB2312"/>
          <w:sz w:val="32"/>
          <w:szCs w:val="32"/>
        </w:rPr>
      </w:pPr>
      <w:r>
        <w:rPr>
          <w:rFonts w:hint="eastAsia" w:ascii="仿宋_GB2312" w:hAnsi="仿宋" w:eastAsia="仿宋_GB2312"/>
          <w:sz w:val="32"/>
          <w:szCs w:val="32"/>
        </w:rPr>
        <w:t>【风险指向】物业公司对外出租房屋，开具不动产租赁发票，取得不动产租赁收入，应申报缴纳从租计征房产税，纳税人不动产租赁收入大于等于10万元，无房产税入库，可能存在少缴房产税的风险。</w:t>
      </w:r>
    </w:p>
    <w:p>
      <w:pPr>
        <w:spacing w:line="580" w:lineRule="exact"/>
        <w:ind w:firstLine="640"/>
        <w:outlineLvl w:val="1"/>
        <w:rPr>
          <w:rFonts w:ascii="仿宋_GB2312" w:hAnsi="仿宋" w:eastAsia="仿宋_GB2312"/>
          <w:sz w:val="32"/>
          <w:szCs w:val="32"/>
        </w:rPr>
      </w:pPr>
      <w:r>
        <w:rPr>
          <w:rFonts w:hint="eastAsia" w:ascii="仿宋_GB2312" w:hAnsi="仿宋" w:eastAsia="仿宋_GB2312"/>
          <w:sz w:val="32"/>
          <w:szCs w:val="32"/>
        </w:rPr>
        <w:t>【应对指引】查阅房屋租赁合同，确定租金收入，同时核实房屋产权情况，确定房产税纳税人。根据合同签订的租赁期限，测算纳税人租赁期间应申报缴纳的房产税，与其实际申报情况进行比对，确定少缴税款金额。如果合同确定的租金收入大于增值税发票金额，则存在无票收入，需进一步核实纳税人是否按实际租金收入申报缴纳增值税和企业所得税或个人所得税。</w:t>
      </w:r>
    </w:p>
    <w:p>
      <w:pPr>
        <w:spacing w:line="580" w:lineRule="exact"/>
        <w:ind w:firstLine="640"/>
        <w:outlineLvl w:val="1"/>
        <w:rPr>
          <w:rFonts w:ascii="楷体_GB2312" w:hAnsi="Times New Roman" w:eastAsia="楷体_GB2312"/>
          <w:b/>
          <w:kern w:val="0"/>
          <w:sz w:val="32"/>
          <w:szCs w:val="32"/>
        </w:rPr>
      </w:pPr>
      <w:r>
        <w:rPr>
          <w:rFonts w:hint="eastAsia" w:ascii="楷体_GB2312" w:hAnsi="Times New Roman" w:eastAsia="楷体_GB2312"/>
          <w:b/>
          <w:kern w:val="0"/>
          <w:sz w:val="32"/>
          <w:szCs w:val="32"/>
        </w:rPr>
        <w:t>指标5：有不动产租赁业务，少缴印花税</w:t>
      </w:r>
    </w:p>
    <w:p>
      <w:pPr>
        <w:spacing w:line="580" w:lineRule="exact"/>
        <w:ind w:firstLine="640" w:firstLineChars="200"/>
        <w:rPr>
          <w:rFonts w:ascii="仿宋_GB2312" w:hAnsi="仿宋" w:eastAsia="仿宋_GB2312"/>
          <w:sz w:val="32"/>
          <w:szCs w:val="32"/>
        </w:rPr>
      </w:pPr>
      <w:r>
        <w:rPr>
          <w:rFonts w:hint="eastAsia" w:ascii="仿宋_GB2312" w:hAnsi="仿宋" w:eastAsia="仿宋_GB2312"/>
          <w:sz w:val="32"/>
          <w:szCs w:val="32"/>
        </w:rPr>
        <w:t>【指标公式】</w:t>
      </w:r>
      <w:r>
        <w:rPr>
          <w:rFonts w:hint="eastAsia" w:ascii="仿宋_GB2312" w:eastAsia="仿宋_GB2312"/>
          <w:sz w:val="32"/>
          <w:szCs w:val="32"/>
        </w:rPr>
        <w:t>提取</w:t>
      </w:r>
      <w:r>
        <w:rPr>
          <w:rFonts w:hint="eastAsia" w:ascii="仿宋_GB2312" w:eastAsia="仿宋_GB2312"/>
          <w:b/>
          <w:sz w:val="32"/>
          <w:szCs w:val="32"/>
        </w:rPr>
        <w:t>开具</w:t>
      </w:r>
      <w:r>
        <w:rPr>
          <w:rFonts w:hint="eastAsia" w:ascii="仿宋_GB2312" w:eastAsia="仿宋_GB2312"/>
          <w:sz w:val="32"/>
          <w:szCs w:val="32"/>
        </w:rPr>
        <w:t>的“不动产经营租赁发票”&gt;=500000元或接收“不动产经营租赁发票”&gt;=500000元,且</w:t>
      </w:r>
      <w:r>
        <w:rPr>
          <w:rFonts w:hint="eastAsia" w:ascii="仿宋_GB2312" w:hAnsi="仿宋" w:eastAsia="仿宋_GB2312"/>
          <w:sz w:val="32"/>
          <w:szCs w:val="32"/>
        </w:rPr>
        <w:t>财产租赁合同印花税入库</w:t>
      </w:r>
      <w:r>
        <w:rPr>
          <w:rFonts w:hint="eastAsia" w:ascii="仿宋_GB2312" w:eastAsia="仿宋_GB2312"/>
          <w:sz w:val="32"/>
          <w:szCs w:val="32"/>
        </w:rPr>
        <w:t>为0的纳税人信息。</w:t>
      </w:r>
    </w:p>
    <w:p>
      <w:pPr>
        <w:spacing w:line="580" w:lineRule="exact"/>
        <w:ind w:firstLine="640" w:firstLineChars="200"/>
        <w:rPr>
          <w:rFonts w:ascii="仿宋_GB2312" w:hAnsi="仿宋" w:eastAsia="仿宋_GB2312"/>
          <w:sz w:val="32"/>
          <w:szCs w:val="32"/>
        </w:rPr>
      </w:pPr>
      <w:r>
        <w:rPr>
          <w:rFonts w:hint="eastAsia" w:ascii="仿宋_GB2312" w:hAnsi="仿宋" w:eastAsia="仿宋_GB2312"/>
          <w:sz w:val="32"/>
          <w:szCs w:val="32"/>
        </w:rPr>
        <w:t>【数据来源】“金税三期”系统印花税入库信息，电子底账系统发票信息。</w:t>
      </w:r>
    </w:p>
    <w:p>
      <w:pPr>
        <w:spacing w:line="580" w:lineRule="exact"/>
        <w:ind w:firstLine="620"/>
        <w:rPr>
          <w:rFonts w:ascii="仿宋_GB2312" w:hAnsi="仿宋" w:eastAsia="仿宋_GB2312"/>
          <w:sz w:val="32"/>
          <w:szCs w:val="32"/>
        </w:rPr>
      </w:pPr>
      <w:r>
        <w:rPr>
          <w:rFonts w:hint="eastAsia" w:ascii="仿宋_GB2312" w:hAnsi="仿宋" w:eastAsia="仿宋_GB2312"/>
          <w:sz w:val="32"/>
          <w:szCs w:val="32"/>
        </w:rPr>
        <w:t>【风险指向】提取企业开具或接收的不动产经营租赁发票，与企业实际缴纳的“财产租赁合同”印花税核对，企业如未缴纳“财产租赁合同”印花税，则属于漏缴“财产租赁合同”印花税，如果企业缴纳的“财产租赁合同”印花税与按开具的不动产经营租赁发票金额应缴纳的“财产租赁合同”印花税金额不一致，则属于少缴“财产租赁合同”印花税，需要补缴以上少缴漏缴的“财产租赁合同”印花税。</w:t>
      </w:r>
    </w:p>
    <w:p>
      <w:pPr>
        <w:spacing w:line="580" w:lineRule="exact"/>
        <w:ind w:firstLine="640"/>
        <w:outlineLvl w:val="1"/>
        <w:rPr>
          <w:rFonts w:ascii="仿宋_GB2312" w:hAnsi="仿宋" w:eastAsia="仿宋_GB2312"/>
          <w:sz w:val="32"/>
          <w:szCs w:val="32"/>
        </w:rPr>
      </w:pPr>
      <w:r>
        <w:rPr>
          <w:rFonts w:hint="eastAsia" w:ascii="仿宋_GB2312" w:hAnsi="仿宋" w:eastAsia="仿宋_GB2312"/>
          <w:sz w:val="32"/>
          <w:szCs w:val="32"/>
        </w:rPr>
        <w:t>【应对指引】查阅企业租赁合同，确定租金收入，根据合同签订的租赁期限，测算纳税人租赁期间应申报缴纳的租赁合同印花税，与其实际申报情况进行比对，确定少缴税款金额。</w:t>
      </w:r>
    </w:p>
    <w:p>
      <w:pPr>
        <w:spacing w:line="580" w:lineRule="exact"/>
        <w:ind w:firstLine="640"/>
        <w:outlineLvl w:val="1"/>
        <w:rPr>
          <w:rFonts w:ascii="楷体_GB2312" w:hAnsi="Times New Roman" w:eastAsia="楷体_GB2312"/>
          <w:b/>
          <w:kern w:val="0"/>
          <w:sz w:val="32"/>
          <w:szCs w:val="32"/>
        </w:rPr>
      </w:pPr>
      <w:r>
        <w:rPr>
          <w:rFonts w:hint="eastAsia" w:ascii="楷体_GB2312" w:hAnsi="Times New Roman" w:eastAsia="楷体_GB2312"/>
          <w:b/>
          <w:kern w:val="0"/>
          <w:sz w:val="32"/>
          <w:szCs w:val="32"/>
        </w:rPr>
        <w:t>指标6：适用税率错误</w:t>
      </w:r>
    </w:p>
    <w:p>
      <w:pPr>
        <w:spacing w:line="580" w:lineRule="exact"/>
        <w:ind w:firstLine="640"/>
        <w:outlineLvl w:val="1"/>
        <w:rPr>
          <w:rFonts w:ascii="仿宋_GB2312" w:hAnsi="仿宋" w:eastAsia="仿宋_GB2312"/>
          <w:sz w:val="32"/>
          <w:szCs w:val="32"/>
        </w:rPr>
      </w:pPr>
      <w:r>
        <w:rPr>
          <w:rFonts w:hint="eastAsia" w:ascii="仿宋_GB2312" w:hAnsi="仿宋" w:eastAsia="仿宋_GB2312"/>
          <w:sz w:val="32"/>
          <w:szCs w:val="32"/>
        </w:rPr>
        <w:t>【指标公式】纳税人开具6%税率的“停车费”“广告费”发票金额&gt;0。</w:t>
      </w:r>
    </w:p>
    <w:p>
      <w:pPr>
        <w:spacing w:line="580" w:lineRule="exact"/>
        <w:ind w:firstLine="641"/>
        <w:outlineLvl w:val="1"/>
        <w:rPr>
          <w:rFonts w:ascii="仿宋_GB2312" w:hAnsi="仿宋" w:eastAsia="仿宋_GB2312"/>
          <w:sz w:val="32"/>
          <w:szCs w:val="32"/>
        </w:rPr>
      </w:pPr>
      <w:r>
        <w:rPr>
          <w:rFonts w:hint="eastAsia" w:ascii="仿宋_GB2312" w:hAnsi="仿宋" w:eastAsia="仿宋_GB2312"/>
          <w:sz w:val="32"/>
          <w:szCs w:val="32"/>
        </w:rPr>
        <w:t>【数据来源】电子底账系统发票信息。</w:t>
      </w:r>
    </w:p>
    <w:p>
      <w:pPr>
        <w:adjustRightInd w:val="0"/>
        <w:snapToGrid w:val="0"/>
        <w:spacing w:line="580" w:lineRule="exact"/>
        <w:ind w:firstLine="641"/>
        <w:rPr>
          <w:rFonts w:ascii="楷体" w:hAnsi="楷体" w:eastAsia="楷体"/>
          <w:b/>
          <w:sz w:val="32"/>
          <w:szCs w:val="32"/>
        </w:rPr>
      </w:pPr>
      <w:r>
        <w:rPr>
          <w:rFonts w:hint="eastAsia" w:ascii="仿宋_GB2312" w:hAnsi="仿宋" w:eastAsia="仿宋_GB2312"/>
          <w:sz w:val="32"/>
          <w:szCs w:val="32"/>
        </w:rPr>
        <w:t>【风险指向】物业公司提供电梯广告、墙体广告，收取的停车管理费、车辆停放服务、道路通行服务（包括过路费、过桥费、过闸费等）等按照不动产经营租赁服务缴纳增值税。有些物业公司按照物业服务费6%。适用税率错误，应按照9%补缴增值税税款。</w:t>
      </w:r>
    </w:p>
    <w:p>
      <w:pPr>
        <w:spacing w:line="580" w:lineRule="exact"/>
        <w:ind w:firstLine="640" w:firstLineChars="200"/>
        <w:rPr>
          <w:rFonts w:ascii="仿宋_GB2312" w:hAnsi="仿宋" w:eastAsia="仿宋_GB2312"/>
          <w:sz w:val="32"/>
          <w:szCs w:val="32"/>
        </w:rPr>
      </w:pPr>
      <w:r>
        <w:rPr>
          <w:rFonts w:hint="eastAsia" w:ascii="仿宋_GB2312" w:hAnsi="仿宋" w:eastAsia="仿宋_GB2312"/>
          <w:sz w:val="32"/>
          <w:szCs w:val="32"/>
        </w:rPr>
        <w:t>【应对指引】核查物业公司提供电梯广告、墙体广告，收取的停车管理费、车辆停放服务、道路通行服务（包括过路费、过桥费、过闸费等）等是否按照不动产经营租赁服务缴纳增值税。</w:t>
      </w:r>
    </w:p>
    <w:p>
      <w:pPr>
        <w:spacing w:line="580" w:lineRule="exact"/>
        <w:ind w:firstLine="640"/>
        <w:outlineLvl w:val="1"/>
        <w:rPr>
          <w:rFonts w:ascii="楷体_GB2312" w:hAnsi="Times New Roman" w:eastAsia="楷体_GB2312"/>
          <w:b/>
          <w:kern w:val="0"/>
          <w:sz w:val="32"/>
          <w:szCs w:val="32"/>
        </w:rPr>
      </w:pPr>
      <w:r>
        <w:rPr>
          <w:rFonts w:hint="eastAsia" w:ascii="楷体_GB2312" w:hAnsi="Times New Roman" w:eastAsia="楷体_GB2312"/>
          <w:b/>
          <w:kern w:val="0"/>
          <w:sz w:val="32"/>
          <w:szCs w:val="32"/>
        </w:rPr>
        <w:t>指标7：应税货物销售额占比较高</w:t>
      </w:r>
    </w:p>
    <w:p>
      <w:pPr>
        <w:spacing w:line="580" w:lineRule="exact"/>
        <w:ind w:firstLine="640" w:firstLineChars="200"/>
        <w:rPr>
          <w:rFonts w:ascii="仿宋_GB2312" w:hAnsi="仿宋" w:eastAsia="仿宋_GB2312"/>
          <w:sz w:val="32"/>
          <w:szCs w:val="32"/>
        </w:rPr>
      </w:pPr>
      <w:r>
        <w:rPr>
          <w:rFonts w:hint="eastAsia" w:ascii="仿宋_GB2312" w:hAnsi="仿宋" w:eastAsia="仿宋_GB2312"/>
          <w:sz w:val="32"/>
          <w:szCs w:val="32"/>
        </w:rPr>
        <w:t>【指标公式】应税货物销售额占比=应税货物销售额/（增值税按适用税率计税销售额+按简易征收办法计税销售额+免税销售额+免、抵、退办法出口销售额）*100%&gt;90%</w:t>
      </w:r>
    </w:p>
    <w:p>
      <w:pPr>
        <w:spacing w:line="580" w:lineRule="exact"/>
        <w:ind w:firstLine="640" w:firstLineChars="200"/>
        <w:rPr>
          <w:rFonts w:ascii="仿宋_GB2312" w:hAnsi="仿宋" w:eastAsia="仿宋_GB2312"/>
          <w:sz w:val="32"/>
          <w:szCs w:val="32"/>
        </w:rPr>
      </w:pPr>
      <w:r>
        <w:rPr>
          <w:rFonts w:hint="eastAsia" w:ascii="仿宋_GB2312" w:hAnsi="仿宋" w:eastAsia="仿宋_GB2312"/>
          <w:sz w:val="32"/>
          <w:szCs w:val="32"/>
        </w:rPr>
        <w:t>【数据来源】金税三期增值税申报表。</w:t>
      </w:r>
    </w:p>
    <w:p>
      <w:pPr>
        <w:spacing w:line="580" w:lineRule="exact"/>
        <w:ind w:firstLine="640" w:firstLineChars="200"/>
        <w:rPr>
          <w:rFonts w:ascii="仿宋_GB2312" w:hAnsi="仿宋" w:eastAsia="仿宋_GB2312"/>
          <w:sz w:val="32"/>
          <w:szCs w:val="32"/>
        </w:rPr>
      </w:pPr>
      <w:r>
        <w:rPr>
          <w:rFonts w:hint="eastAsia" w:ascii="仿宋_GB2312" w:hAnsi="仿宋" w:eastAsia="仿宋_GB2312"/>
          <w:sz w:val="32"/>
          <w:szCs w:val="32"/>
        </w:rPr>
        <w:t>【风险指向】物业管理公司主要提供物业服务，销售服务占比应较高，销售货物占比大于90%可能存在转售电或物业管理服务未记收入等情况。</w:t>
      </w:r>
    </w:p>
    <w:p>
      <w:pPr>
        <w:spacing w:line="580" w:lineRule="exact"/>
        <w:ind w:firstLine="640" w:firstLineChars="200"/>
        <w:rPr>
          <w:rFonts w:ascii="仿宋_GB2312" w:hAnsi="仿宋" w:eastAsia="仿宋_GB2312"/>
          <w:sz w:val="32"/>
          <w:szCs w:val="32"/>
        </w:rPr>
      </w:pPr>
      <w:r>
        <w:rPr>
          <w:rFonts w:hint="eastAsia" w:ascii="仿宋_GB2312" w:hAnsi="仿宋" w:eastAsia="仿宋_GB2312"/>
          <w:sz w:val="32"/>
          <w:szCs w:val="32"/>
        </w:rPr>
        <w:t>【应对指引】核实是否有转售电行为，售电是否有加价，电力作为特殊商品应购进多少销售多少，</w:t>
      </w:r>
      <w:r>
        <w:rPr>
          <w:rFonts w:hint="eastAsia" w:ascii="仿宋_GB2312" w:hAnsi="仿宋" w:eastAsia="仿宋_GB2312" w:cs="Times New Roman"/>
          <w:kern w:val="2"/>
          <w:sz w:val="32"/>
          <w:szCs w:val="32"/>
          <w:lang w:val="en-US" w:eastAsia="zh-CN" w:bidi="ar"/>
        </w:rPr>
        <w:t>进销差额较大的可能存在风险。</w:t>
      </w:r>
      <w:bookmarkStart w:id="0" w:name="_GoBack"/>
      <w:bookmarkEnd w:id="0"/>
      <w:r>
        <w:rPr>
          <w:rFonts w:hint="eastAsia" w:ascii="仿宋_GB2312" w:hAnsi="仿宋" w:eastAsia="仿宋_GB2312" w:cs="Times New Roman"/>
          <w:kern w:val="2"/>
          <w:sz w:val="32"/>
          <w:szCs w:val="32"/>
          <w:lang w:val="en-US" w:eastAsia="zh-CN" w:bidi="ar"/>
        </w:rPr>
        <w:t>可通过纳税人开具发票与取得发票的电力数量和金额 进行比对</w:t>
      </w:r>
      <w:r>
        <w:rPr>
          <w:rFonts w:hint="eastAsia" w:ascii="仿宋_GB2312" w:hAnsi="仿宋" w:eastAsia="仿宋_GB2312"/>
          <w:sz w:val="32"/>
          <w:szCs w:val="32"/>
        </w:rPr>
        <w:t>，</w:t>
      </w:r>
      <w:bookmarkStart w:id="1" w:name="_GoBack"/>
      <w:bookmarkEnd w:id="1"/>
      <w:r>
        <w:rPr>
          <w:rFonts w:hint="eastAsia" w:ascii="仿宋_GB2312" w:hAnsi="仿宋" w:eastAsia="仿宋_GB2312"/>
          <w:sz w:val="32"/>
          <w:szCs w:val="32"/>
        </w:rPr>
        <w:t>核实其是否加价转售或少记售电收入。部分纳税人除售电外还提供相应的物业服务，核实是否有隐瞒物业服务收入的情况。</w:t>
      </w:r>
    </w:p>
    <w:p>
      <w:pPr>
        <w:spacing w:line="580" w:lineRule="exact"/>
        <w:ind w:firstLine="640"/>
        <w:outlineLvl w:val="1"/>
        <w:rPr>
          <w:rFonts w:ascii="楷体_GB2312" w:hAnsi="Times New Roman" w:eastAsia="楷体_GB2312"/>
          <w:b/>
          <w:kern w:val="0"/>
          <w:sz w:val="32"/>
          <w:szCs w:val="32"/>
        </w:rPr>
      </w:pPr>
      <w:r>
        <w:rPr>
          <w:rFonts w:hint="eastAsia" w:ascii="楷体_GB2312" w:hAnsi="Times New Roman" w:eastAsia="楷体_GB2312"/>
          <w:b/>
          <w:kern w:val="0"/>
          <w:sz w:val="32"/>
          <w:szCs w:val="32"/>
        </w:rPr>
        <w:t>指标8：职工薪酬占成本比例过高</w:t>
      </w:r>
    </w:p>
    <w:p>
      <w:pPr>
        <w:spacing w:line="580" w:lineRule="exact"/>
        <w:ind w:firstLine="640" w:firstLineChars="200"/>
        <w:rPr>
          <w:rFonts w:ascii="仿宋_GB2312" w:hAnsi="仿宋" w:eastAsia="仿宋_GB2312"/>
          <w:sz w:val="32"/>
          <w:szCs w:val="32"/>
        </w:rPr>
      </w:pPr>
      <w:r>
        <w:rPr>
          <w:rFonts w:hint="eastAsia" w:ascii="仿宋_GB2312" w:hAnsi="仿宋" w:eastAsia="仿宋_GB2312"/>
          <w:sz w:val="32"/>
          <w:szCs w:val="32"/>
        </w:rPr>
        <w:t>【指标公式】企业所得税年报表主表职工薪酬/（营业成本+管理费用+销售费用）&gt;=90%且营业收入&gt;=100万元。</w:t>
      </w:r>
    </w:p>
    <w:p>
      <w:pPr>
        <w:spacing w:line="580" w:lineRule="exact"/>
        <w:ind w:firstLine="640" w:firstLineChars="200"/>
        <w:rPr>
          <w:rFonts w:ascii="仿宋_GB2312" w:eastAsia="仿宋_GB2312"/>
          <w:sz w:val="32"/>
          <w:szCs w:val="32"/>
        </w:rPr>
      </w:pPr>
      <w:r>
        <w:rPr>
          <w:rFonts w:hint="eastAsia" w:ascii="仿宋_GB2312" w:hAnsi="仿宋" w:eastAsia="仿宋_GB2312"/>
          <w:sz w:val="32"/>
          <w:szCs w:val="32"/>
        </w:rPr>
        <w:t>【数据来源】</w:t>
      </w:r>
      <w:r>
        <w:rPr>
          <w:rFonts w:hint="eastAsia" w:ascii="仿宋_GB2312" w:eastAsia="仿宋_GB2312"/>
          <w:sz w:val="32"/>
          <w:szCs w:val="32"/>
        </w:rPr>
        <w:t>金税三期系统中企业所得税年度申报表职工薪酬信息，ITS系统中代扣代缴信息。</w:t>
      </w:r>
    </w:p>
    <w:p>
      <w:pPr>
        <w:spacing w:line="580" w:lineRule="exact"/>
        <w:ind w:firstLine="640" w:firstLineChars="200"/>
        <w:rPr>
          <w:rFonts w:ascii="仿宋_GB2312" w:hAnsi="仿宋" w:eastAsia="仿宋_GB2312"/>
          <w:sz w:val="32"/>
          <w:szCs w:val="32"/>
        </w:rPr>
      </w:pPr>
      <w:r>
        <w:rPr>
          <w:rFonts w:hint="eastAsia" w:ascii="仿宋_GB2312" w:hAnsi="仿宋" w:eastAsia="仿宋_GB2312"/>
          <w:sz w:val="32"/>
          <w:szCs w:val="32"/>
        </w:rPr>
        <w:t>【风险指向】物业服务行业特点，人工费约占总成本的40-60%，人工成本过高可能存在虚列成本的风险。</w:t>
      </w:r>
    </w:p>
    <w:p>
      <w:pPr>
        <w:spacing w:line="580" w:lineRule="exact"/>
        <w:ind w:firstLine="640"/>
        <w:outlineLvl w:val="1"/>
        <w:rPr>
          <w:rFonts w:ascii="仿宋_GB2312" w:eastAsia="仿宋_GB2312"/>
          <w:sz w:val="32"/>
          <w:szCs w:val="32"/>
        </w:rPr>
      </w:pPr>
      <w:r>
        <w:rPr>
          <w:rFonts w:hint="eastAsia" w:ascii="仿宋_GB2312" w:hAnsi="仿宋" w:eastAsia="仿宋_GB2312"/>
          <w:sz w:val="32"/>
          <w:szCs w:val="32"/>
        </w:rPr>
        <w:t>【应对指引】</w:t>
      </w:r>
      <w:r>
        <w:rPr>
          <w:rFonts w:hint="eastAsia" w:ascii="仿宋_GB2312" w:eastAsia="仿宋_GB2312"/>
          <w:sz w:val="32"/>
          <w:szCs w:val="32"/>
        </w:rPr>
        <w:t>核实企业工资薪金发放表、银行付款凭证、考勤记录、应付工资账目等情况，核实企业有无虚列人员、增加工资费用支出等情况是；同时核实是否存在税前扣除的工资薪金支出未足额扣缴个人所得税；是否存在将个人工资、薪金所得在福利费或其他科目中列支而未扣缴个人所得税的情况；有无以非货币形式发放的工资薪金性质的所得未依法履行代扣代缴义务；有无隐匿或少报个人收入情况。</w:t>
      </w:r>
    </w:p>
    <w:p>
      <w:pPr>
        <w:spacing w:line="580" w:lineRule="exact"/>
        <w:ind w:firstLine="643" w:firstLineChars="200"/>
        <w:rPr>
          <w:rFonts w:ascii="楷体_GB2312" w:hAnsi="Times New Roman" w:eastAsia="楷体_GB2312"/>
          <w:b/>
          <w:kern w:val="0"/>
          <w:sz w:val="32"/>
          <w:szCs w:val="32"/>
        </w:rPr>
      </w:pPr>
      <w:r>
        <w:rPr>
          <w:rFonts w:hint="eastAsia" w:ascii="楷体_GB2312" w:hAnsi="Times New Roman" w:eastAsia="楷体_GB2312"/>
          <w:b/>
          <w:kern w:val="0"/>
          <w:sz w:val="32"/>
          <w:szCs w:val="32"/>
        </w:rPr>
        <w:t>指标9: 购进发票金额较大未申报增值税收入</w:t>
      </w:r>
    </w:p>
    <w:p>
      <w:pPr>
        <w:spacing w:line="580" w:lineRule="exact"/>
        <w:ind w:firstLine="640" w:firstLineChars="200"/>
        <w:rPr>
          <w:rFonts w:ascii="仿宋_GB2312" w:hAnsi="仿宋" w:eastAsia="仿宋_GB2312"/>
          <w:sz w:val="32"/>
          <w:szCs w:val="32"/>
        </w:rPr>
      </w:pPr>
      <w:r>
        <w:rPr>
          <w:rFonts w:hint="eastAsia" w:ascii="仿宋_GB2312" w:hAnsi="仿宋" w:eastAsia="仿宋_GB2312"/>
          <w:sz w:val="32"/>
          <w:szCs w:val="32"/>
        </w:rPr>
        <w:t>【指标公式】2021年购进发票金额</w:t>
      </w:r>
      <w:r>
        <w:rPr>
          <w:rFonts w:hint="eastAsia" w:ascii="宋体" w:hAnsi="宋体" w:eastAsia="宋体" w:cs="宋体"/>
          <w:sz w:val="32"/>
          <w:szCs w:val="32"/>
        </w:rPr>
        <w:t>&gt;=</w:t>
      </w:r>
      <w:r>
        <w:rPr>
          <w:rFonts w:hint="eastAsia" w:ascii="仿宋_GB2312" w:hAnsi="仿宋" w:eastAsia="仿宋_GB2312"/>
          <w:sz w:val="32"/>
          <w:szCs w:val="32"/>
        </w:rPr>
        <w:t>100万元，2022年购进发票金额</w:t>
      </w:r>
      <w:r>
        <w:rPr>
          <w:rFonts w:hint="eastAsia" w:ascii="宋体" w:hAnsi="宋体" w:eastAsia="宋体" w:cs="宋体"/>
          <w:sz w:val="32"/>
          <w:szCs w:val="32"/>
        </w:rPr>
        <w:t>&gt;=</w:t>
      </w:r>
      <w:r>
        <w:rPr>
          <w:rFonts w:hint="eastAsia" w:ascii="仿宋_GB2312" w:hAnsi="仿宋" w:eastAsia="仿宋_GB2312"/>
          <w:sz w:val="32"/>
          <w:szCs w:val="32"/>
        </w:rPr>
        <w:t>100万元，增值税及附加税费申报表中一般计税方法6%税率销售额=0或应征增值税不含税销售额（3%征收率）+免税销售额=0</w:t>
      </w:r>
    </w:p>
    <w:p>
      <w:pPr>
        <w:spacing w:line="580" w:lineRule="exact"/>
        <w:ind w:firstLine="640" w:firstLineChars="200"/>
        <w:rPr>
          <w:rFonts w:ascii="仿宋_GB2312" w:hAnsi="仿宋" w:eastAsia="仿宋_GB2312"/>
          <w:sz w:val="32"/>
          <w:szCs w:val="32"/>
        </w:rPr>
      </w:pPr>
      <w:r>
        <w:rPr>
          <w:rFonts w:hint="eastAsia" w:ascii="仿宋_GB2312" w:hAnsi="仿宋" w:eastAsia="仿宋_GB2312"/>
          <w:sz w:val="32"/>
          <w:szCs w:val="32"/>
        </w:rPr>
        <w:t>【数据来源】增值税电子底账管理系统发票信息，金税三期增值税申报表中增值税及附加税费申报表附列资料一（本期销售情况明细表），增值税及附加税费申报表（小规模纳税人适用）附列资料（一）（服务、不动产和无形资产扣除项目明细）</w:t>
      </w:r>
    </w:p>
    <w:p>
      <w:pPr>
        <w:spacing w:line="580" w:lineRule="exact"/>
        <w:ind w:firstLine="640" w:firstLineChars="200"/>
        <w:rPr>
          <w:rFonts w:ascii="仿宋_GB2312" w:hAnsi="仿宋" w:eastAsia="仿宋_GB2312"/>
          <w:sz w:val="32"/>
          <w:szCs w:val="32"/>
        </w:rPr>
      </w:pPr>
      <w:r>
        <w:rPr>
          <w:rFonts w:hint="eastAsia" w:ascii="仿宋_GB2312" w:hAnsi="仿宋" w:eastAsia="仿宋_GB2312"/>
          <w:sz w:val="32"/>
          <w:szCs w:val="32"/>
        </w:rPr>
        <w:t>【风险指向】纳税人接收大量购进发票说明有相应经营活动，提供了物业管理服务，应申报相应税率的增值税收入。</w:t>
      </w:r>
    </w:p>
    <w:p>
      <w:pPr>
        <w:spacing w:line="580" w:lineRule="exact"/>
        <w:ind w:firstLine="640"/>
        <w:outlineLvl w:val="1"/>
        <w:rPr>
          <w:rFonts w:ascii="楷体_GB2312" w:hAnsi="Times New Roman" w:eastAsia="楷体_GB2312"/>
          <w:b/>
          <w:kern w:val="0"/>
          <w:sz w:val="32"/>
          <w:szCs w:val="32"/>
        </w:rPr>
      </w:pPr>
      <w:r>
        <w:rPr>
          <w:rFonts w:hint="eastAsia" w:ascii="仿宋_GB2312" w:hAnsi="仿宋" w:eastAsia="仿宋_GB2312"/>
          <w:sz w:val="32"/>
          <w:szCs w:val="32"/>
        </w:rPr>
        <w:t>【应对指引】核查企业实际管理的小区规模，收取的物业管理费金额与其实际申报的物业管理费情况进行比对，确定少申报增值税收入的金额。</w:t>
      </w:r>
    </w:p>
    <w:p>
      <w:pPr>
        <w:spacing w:line="580" w:lineRule="exact"/>
        <w:ind w:firstLine="640"/>
        <w:outlineLvl w:val="1"/>
        <w:rPr>
          <w:rFonts w:ascii="楷体_GB2312" w:hAnsi="Times New Roman" w:eastAsia="楷体_GB2312"/>
          <w:b/>
          <w:kern w:val="0"/>
          <w:sz w:val="32"/>
          <w:szCs w:val="32"/>
        </w:rPr>
      </w:pPr>
      <w:r>
        <w:rPr>
          <w:rFonts w:hint="eastAsia" w:ascii="楷体_GB2312" w:hAnsi="Times New Roman" w:eastAsia="楷体_GB2312"/>
          <w:b/>
          <w:kern w:val="0"/>
          <w:sz w:val="32"/>
          <w:szCs w:val="32"/>
        </w:rPr>
        <w:t>指标10：有房产信息，未缴纳房产税、城镇土地使用税</w:t>
      </w:r>
    </w:p>
    <w:p>
      <w:pPr>
        <w:spacing w:line="580" w:lineRule="exact"/>
        <w:ind w:firstLine="640" w:firstLineChars="200"/>
        <w:rPr>
          <w:rFonts w:ascii="仿宋_GB2312" w:hAnsi="仿宋" w:eastAsia="仿宋_GB2312"/>
          <w:sz w:val="32"/>
          <w:szCs w:val="32"/>
        </w:rPr>
      </w:pPr>
      <w:r>
        <w:rPr>
          <w:rFonts w:hint="eastAsia" w:ascii="仿宋_GB2312" w:hAnsi="仿宋" w:eastAsia="仿宋_GB2312"/>
          <w:sz w:val="32"/>
          <w:szCs w:val="32"/>
        </w:rPr>
        <w:t>【指标公式】</w:t>
      </w:r>
      <w:r>
        <w:rPr>
          <w:rFonts w:hint="eastAsia" w:ascii="仿宋_GB2312" w:hAnsi="Times New Roman" w:eastAsia="仿宋_GB2312"/>
          <w:kern w:val="0"/>
          <w:sz w:val="32"/>
          <w:szCs w:val="32"/>
        </w:rPr>
        <w:t>企业所得税年度纳税申报表附表中房屋建筑物资产原值&gt;=10万，房产税、城镇土地使用税=0。</w:t>
      </w:r>
    </w:p>
    <w:p>
      <w:pPr>
        <w:spacing w:line="580" w:lineRule="exact"/>
        <w:ind w:firstLine="640" w:firstLineChars="200"/>
        <w:rPr>
          <w:rFonts w:ascii="仿宋_GB2312" w:hAnsi="仿宋" w:eastAsia="仿宋_GB2312"/>
          <w:sz w:val="32"/>
          <w:szCs w:val="32"/>
        </w:rPr>
      </w:pPr>
      <w:r>
        <w:rPr>
          <w:rFonts w:hint="eastAsia" w:ascii="仿宋_GB2312" w:hAnsi="仿宋" w:eastAsia="仿宋_GB2312"/>
          <w:sz w:val="32"/>
          <w:szCs w:val="32"/>
        </w:rPr>
        <w:t>【数据来源】金税三期企业所得税年度纳税申报表信息,房产税、城镇土地使用税入库信息。</w:t>
      </w:r>
    </w:p>
    <w:p>
      <w:pPr>
        <w:spacing w:line="580" w:lineRule="exact"/>
        <w:ind w:firstLine="640"/>
        <w:rPr>
          <w:rFonts w:ascii="仿宋_GB2312" w:hAnsi="Times New Roman" w:eastAsia="仿宋_GB2312"/>
          <w:kern w:val="0"/>
          <w:sz w:val="32"/>
          <w:szCs w:val="32"/>
        </w:rPr>
      </w:pPr>
      <w:r>
        <w:rPr>
          <w:rFonts w:hint="eastAsia" w:ascii="仿宋_GB2312" w:hAnsi="仿宋" w:eastAsia="仿宋_GB2312"/>
          <w:sz w:val="32"/>
          <w:szCs w:val="32"/>
        </w:rPr>
        <w:t>【风险指向】</w:t>
      </w:r>
      <w:r>
        <w:rPr>
          <w:rFonts w:hint="eastAsia" w:ascii="仿宋_GB2312" w:hAnsi="Times New Roman" w:eastAsia="仿宋_GB2312"/>
          <w:kern w:val="0"/>
          <w:sz w:val="32"/>
          <w:szCs w:val="32"/>
        </w:rPr>
        <w:t>企业在金税三期核心征管系统企业所得税年度纳税申报表附表中房屋建筑物资产原值大于零，房产税、城镇土地使用税入库为0，存在少缴税款风险。</w:t>
      </w:r>
    </w:p>
    <w:p>
      <w:pPr>
        <w:spacing w:line="580" w:lineRule="exact"/>
        <w:ind w:firstLine="640" w:firstLineChars="200"/>
        <w:rPr>
          <w:rFonts w:ascii="仿宋_GB2312" w:eastAsia="仿宋_GB2312"/>
          <w:sz w:val="32"/>
          <w:szCs w:val="32"/>
        </w:rPr>
      </w:pPr>
      <w:r>
        <w:rPr>
          <w:rFonts w:hint="eastAsia" w:ascii="仿宋_GB2312" w:hAnsi="仿宋" w:eastAsia="仿宋_GB2312"/>
          <w:sz w:val="32"/>
          <w:szCs w:val="32"/>
        </w:rPr>
        <w:t>【应对指引】</w:t>
      </w:r>
      <w:r>
        <w:rPr>
          <w:rFonts w:hint="eastAsia" w:ascii="仿宋_GB2312" w:eastAsia="仿宋_GB2312"/>
          <w:sz w:val="32"/>
          <w:szCs w:val="32"/>
        </w:rPr>
        <w:t>核实企业房产信息，确认是否在房产税或城镇土地使用税的应税范围，房产是否已提折旧并列支成本，成本列支是否符合政策规定。</w:t>
      </w:r>
    </w:p>
    <w:p>
      <w:pPr>
        <w:spacing w:line="580" w:lineRule="exact"/>
        <w:ind w:firstLine="640"/>
        <w:outlineLvl w:val="1"/>
        <w:rPr>
          <w:rFonts w:ascii="楷体_GB2312" w:hAnsi="Times New Roman" w:eastAsia="楷体_GB2312"/>
          <w:b/>
          <w:kern w:val="0"/>
          <w:sz w:val="32"/>
          <w:szCs w:val="32"/>
        </w:rPr>
      </w:pPr>
      <w:r>
        <w:rPr>
          <w:rFonts w:hint="eastAsia" w:ascii="楷体_GB2312" w:hAnsi="Times New Roman" w:eastAsia="楷体_GB2312"/>
          <w:b/>
          <w:kern w:val="0"/>
          <w:sz w:val="32"/>
          <w:szCs w:val="32"/>
        </w:rPr>
        <w:t>指标11：房产税入库为0</w:t>
      </w:r>
    </w:p>
    <w:p>
      <w:pPr>
        <w:spacing w:line="580" w:lineRule="exact"/>
        <w:ind w:firstLine="640" w:firstLineChars="200"/>
        <w:rPr>
          <w:rFonts w:ascii="仿宋_GB2312" w:hAnsi="仿宋" w:eastAsia="仿宋_GB2312"/>
          <w:sz w:val="32"/>
          <w:szCs w:val="32"/>
        </w:rPr>
      </w:pPr>
      <w:r>
        <w:rPr>
          <w:rFonts w:hint="eastAsia" w:ascii="仿宋_GB2312" w:hAnsi="仿宋" w:eastAsia="仿宋_GB2312"/>
          <w:sz w:val="32"/>
          <w:szCs w:val="32"/>
        </w:rPr>
        <w:t>【指标公式】房产税入库税额=0</w:t>
      </w:r>
    </w:p>
    <w:p>
      <w:pPr>
        <w:spacing w:line="580" w:lineRule="exact"/>
        <w:ind w:firstLine="640" w:firstLineChars="200"/>
        <w:rPr>
          <w:rFonts w:ascii="仿宋_GB2312" w:hAnsi="仿宋" w:eastAsia="仿宋_GB2312"/>
          <w:sz w:val="32"/>
          <w:szCs w:val="32"/>
        </w:rPr>
      </w:pPr>
      <w:r>
        <w:rPr>
          <w:rFonts w:hint="eastAsia" w:ascii="仿宋_GB2312" w:hAnsi="仿宋" w:eastAsia="仿宋_GB2312"/>
          <w:sz w:val="32"/>
          <w:szCs w:val="32"/>
        </w:rPr>
        <w:t>【数据来源】金税三期房产税入库信息。</w:t>
      </w:r>
    </w:p>
    <w:p>
      <w:pPr>
        <w:spacing w:line="580" w:lineRule="exact"/>
        <w:ind w:firstLine="640" w:firstLineChars="200"/>
        <w:rPr>
          <w:rFonts w:ascii="仿宋_GB2312" w:hAnsi="仿宋" w:eastAsia="仿宋_GB2312"/>
          <w:sz w:val="32"/>
          <w:szCs w:val="32"/>
        </w:rPr>
      </w:pPr>
      <w:r>
        <w:rPr>
          <w:rFonts w:hint="eastAsia" w:ascii="仿宋_GB2312" w:hAnsi="仿宋" w:eastAsia="仿宋_GB2312"/>
          <w:sz w:val="32"/>
          <w:szCs w:val="32"/>
        </w:rPr>
        <w:t>【风险指向】依据</w:t>
      </w:r>
      <w:r>
        <w:rPr>
          <w:rFonts w:hint="eastAsia" w:ascii="仿宋_GB2312" w:eastAsia="仿宋_GB2312"/>
          <w:sz w:val="32"/>
          <w:szCs w:val="32"/>
        </w:rPr>
        <w:t>《财政部　国家税务总局关于房产税、城镇土地使用税有关政策的通知》（财税[2006]186号）第一条：关于居民住宅区内业主共有的经营性房产缴纳房产税问题：</w:t>
      </w:r>
      <w:r>
        <w:rPr>
          <w:rFonts w:hint="eastAsia" w:ascii="仿宋_GB2312" w:eastAsia="仿宋_GB2312"/>
          <w:b/>
          <w:bCs/>
          <w:sz w:val="32"/>
          <w:szCs w:val="32"/>
        </w:rPr>
        <w:t>对居民住宅区内业主共有的经营性房产，由实际经营（包括自营和出租）的代管人或使用人缴纳房产税。</w:t>
      </w:r>
      <w:r>
        <w:rPr>
          <w:rFonts w:hint="eastAsia" w:ascii="仿宋_GB2312" w:eastAsia="仿宋_GB2312"/>
          <w:sz w:val="32"/>
          <w:szCs w:val="32"/>
        </w:rPr>
        <w:t>其中自营的，依照房产原值减除10%至30%后的余值计征，没有房产原值或不能将业主共有房产与其他房产的原值准确划分开的，由房产所在地地方税务机关参照同类房产核定房产原值；出租的，依照租金收入计征。</w:t>
      </w:r>
    </w:p>
    <w:p>
      <w:pPr>
        <w:spacing w:line="580" w:lineRule="exact"/>
        <w:ind w:firstLine="640" w:firstLineChars="200"/>
        <w:rPr>
          <w:rFonts w:ascii="仿宋_GB2312" w:hAnsi="仿宋" w:eastAsia="仿宋_GB2312"/>
          <w:sz w:val="32"/>
          <w:szCs w:val="32"/>
        </w:rPr>
      </w:pPr>
      <w:r>
        <w:rPr>
          <w:rFonts w:hint="eastAsia" w:ascii="仿宋_GB2312" w:hAnsi="仿宋" w:eastAsia="仿宋_GB2312"/>
          <w:sz w:val="32"/>
          <w:szCs w:val="32"/>
        </w:rPr>
        <w:t>【应对指引】核实物业用房面积，根据实际面积测算纳税人使用期间应申报缴纳的房产税，与其实际申报情况进行比对，确定少缴税款金额。</w:t>
      </w:r>
    </w:p>
    <w:p>
      <w:pPr>
        <w:spacing w:line="580" w:lineRule="exact"/>
        <w:ind w:firstLine="643" w:firstLineChars="200"/>
        <w:rPr>
          <w:rFonts w:ascii="楷体_GB2312" w:hAnsi="Times New Roman" w:eastAsia="楷体_GB2312"/>
          <w:b/>
          <w:kern w:val="0"/>
          <w:sz w:val="32"/>
          <w:szCs w:val="32"/>
        </w:rPr>
      </w:pPr>
      <w:r>
        <w:rPr>
          <w:rFonts w:hint="eastAsia" w:ascii="楷体_GB2312" w:hAnsi="Times New Roman" w:eastAsia="楷体_GB2312"/>
          <w:b/>
          <w:kern w:val="0"/>
          <w:sz w:val="32"/>
          <w:szCs w:val="32"/>
        </w:rPr>
        <w:t xml:space="preserve">指标12：往来账款科目异常。   </w:t>
      </w:r>
    </w:p>
    <w:p>
      <w:pPr>
        <w:pStyle w:val="2"/>
        <w:spacing w:line="580" w:lineRule="exact"/>
        <w:ind w:firstLine="640" w:firstLineChars="200"/>
        <w:rPr>
          <w:rFonts w:ascii="仿宋_GB2312" w:eastAsia="仿宋_GB2312"/>
          <w:sz w:val="32"/>
          <w:szCs w:val="32"/>
        </w:rPr>
      </w:pPr>
      <w:r>
        <w:rPr>
          <w:rFonts w:hint="eastAsia" w:ascii="仿宋_GB2312" w:hAnsi="仿宋" w:eastAsia="仿宋_GB2312"/>
          <w:sz w:val="32"/>
          <w:szCs w:val="32"/>
        </w:rPr>
        <w:t>【指标公式】</w:t>
      </w:r>
      <w:r>
        <w:rPr>
          <w:rFonts w:hint="eastAsia" w:ascii="仿宋_GB2312" w:eastAsia="仿宋_GB2312"/>
          <w:sz w:val="32"/>
          <w:szCs w:val="32"/>
        </w:rPr>
        <w:t>提取财务报表中往来账款数据，计算其他应收应付平均值、占比。计算公式：其他应收应付预收平均值=(其他应收、应付款、预收期初+其他应收、应付款、预收期末)/2，其他应收应付占比=其他应收应付预收平均值/营业收入；预警值为其他应收应付平均值大于500万且其他应收应付占比＞80%。</w:t>
      </w:r>
    </w:p>
    <w:p>
      <w:pPr>
        <w:spacing w:line="580" w:lineRule="exact"/>
        <w:ind w:firstLine="640" w:firstLineChars="200"/>
        <w:rPr>
          <w:rFonts w:ascii="仿宋_GB2312" w:hAnsi="仿宋" w:eastAsia="仿宋_GB2312"/>
          <w:sz w:val="32"/>
          <w:szCs w:val="32"/>
        </w:rPr>
      </w:pPr>
      <w:r>
        <w:rPr>
          <w:rFonts w:hint="eastAsia" w:ascii="仿宋_GB2312" w:hAnsi="仿宋" w:eastAsia="仿宋_GB2312"/>
          <w:sz w:val="32"/>
          <w:szCs w:val="32"/>
        </w:rPr>
        <w:t>【数据来源】</w:t>
      </w:r>
      <w:r>
        <w:rPr>
          <w:rFonts w:hint="eastAsia" w:ascii="仿宋_GB2312" w:eastAsia="仿宋_GB2312"/>
          <w:sz w:val="32"/>
          <w:szCs w:val="32"/>
        </w:rPr>
        <w:t>金税三期系统内财务报表申报其他应收款期初、其他应收款期末、其他应付款期初、其他应付款期末、营业收入。</w:t>
      </w:r>
    </w:p>
    <w:p>
      <w:pPr>
        <w:spacing w:line="580" w:lineRule="exact"/>
        <w:ind w:firstLine="640" w:firstLineChars="200"/>
        <w:rPr>
          <w:rFonts w:ascii="仿宋_GB2312" w:hAnsi="仿宋" w:eastAsia="仿宋_GB2312"/>
          <w:sz w:val="32"/>
          <w:szCs w:val="32"/>
        </w:rPr>
      </w:pPr>
      <w:r>
        <w:rPr>
          <w:rFonts w:hint="eastAsia" w:ascii="仿宋_GB2312" w:hAnsi="仿宋" w:eastAsia="仿宋_GB2312"/>
          <w:sz w:val="32"/>
          <w:szCs w:val="32"/>
        </w:rPr>
        <w:t>【风险指向】纳税人将部分营业收入计入其他应付款、预收账款、其他应收款等往来科目，不结转营业收入，少缴税款。如：新建小区预售阶段向开发公司收取的前期物业费长期挂在预收账款科目；收取的垃圾清运费挂在其他应付款科目、当实际支出时再冲减其他应付款等往来科目。</w:t>
      </w:r>
      <w:r>
        <w:rPr>
          <w:rFonts w:hint="eastAsia" w:ascii="仿宋_GB2312" w:hAnsi="黑体" w:eastAsia="仿宋_GB2312"/>
          <w:sz w:val="32"/>
          <w:szCs w:val="32"/>
        </w:rPr>
        <w:t>物业公司与</w:t>
      </w:r>
      <w:r>
        <w:rPr>
          <w:rFonts w:hint="eastAsia" w:ascii="仿宋_GB2312" w:eastAsia="仿宋_GB2312"/>
          <w:sz w:val="32"/>
          <w:szCs w:val="32"/>
        </w:rPr>
        <w:t>房地产开发有限公司有大量的资金拆借，通过“其他应收款”科目反映。增值税应视同销售，企业所得税应做特别纳税调整。</w:t>
      </w:r>
    </w:p>
    <w:p>
      <w:pPr>
        <w:spacing w:line="580" w:lineRule="exact"/>
        <w:ind w:firstLine="640" w:firstLineChars="200"/>
        <w:rPr>
          <w:rFonts w:ascii="仿宋_GB2312" w:hAnsi="仿宋" w:eastAsia="仿宋_GB2312"/>
          <w:sz w:val="32"/>
          <w:szCs w:val="32"/>
        </w:rPr>
      </w:pPr>
      <w:r>
        <w:rPr>
          <w:rFonts w:hint="eastAsia" w:ascii="仿宋_GB2312" w:hAnsi="仿宋" w:eastAsia="仿宋_GB2312"/>
          <w:sz w:val="32"/>
          <w:szCs w:val="32"/>
        </w:rPr>
        <w:t>【应对指引】</w:t>
      </w:r>
      <w:r>
        <w:rPr>
          <w:rFonts w:hint="eastAsia" w:ascii="仿宋_GB2312" w:eastAsia="仿宋_GB2312"/>
          <w:sz w:val="32"/>
          <w:szCs w:val="32"/>
        </w:rPr>
        <w:t>检查其他应收账款、预收账款、其他应付账款各明细科目，核实是否存在未及时确认收入或不结转营业收入、发生资金拆借等情况。</w:t>
      </w:r>
    </w:p>
    <w:p>
      <w:pPr>
        <w:spacing w:line="580" w:lineRule="exact"/>
        <w:ind w:firstLine="640" w:firstLineChars="200"/>
        <w:rPr>
          <w:rFonts w:ascii="黑体" w:hAnsi="黑体" w:eastAsia="黑体"/>
          <w:kern w:val="0"/>
          <w:sz w:val="32"/>
          <w:szCs w:val="32"/>
        </w:rPr>
      </w:pPr>
      <w:r>
        <w:rPr>
          <w:rFonts w:hint="eastAsia" w:ascii="黑体" w:hAnsi="黑体" w:eastAsia="黑体"/>
          <w:kern w:val="0"/>
          <w:sz w:val="32"/>
          <w:szCs w:val="32"/>
        </w:rPr>
        <w:t>三、其他税收风险</w:t>
      </w:r>
    </w:p>
    <w:p>
      <w:pPr>
        <w:spacing w:line="580" w:lineRule="exact"/>
        <w:ind w:firstLine="643" w:firstLineChars="200"/>
        <w:rPr>
          <w:rFonts w:ascii="楷体_GB2312" w:hAnsi="Times New Roman" w:eastAsia="楷体_GB2312"/>
          <w:b/>
          <w:kern w:val="0"/>
          <w:sz w:val="32"/>
          <w:szCs w:val="32"/>
        </w:rPr>
      </w:pPr>
      <w:r>
        <w:rPr>
          <w:rFonts w:hint="eastAsia" w:ascii="楷体_GB2312" w:hAnsi="Times New Roman" w:eastAsia="楷体_GB2312"/>
          <w:b/>
          <w:kern w:val="0"/>
          <w:sz w:val="32"/>
          <w:szCs w:val="32"/>
        </w:rPr>
        <w:t>（一）减免收入未按视同销售申报</w:t>
      </w:r>
    </w:p>
    <w:p>
      <w:pPr>
        <w:adjustRightInd w:val="0"/>
        <w:snapToGrid w:val="0"/>
        <w:spacing w:line="580" w:lineRule="exact"/>
        <w:ind w:firstLine="729" w:firstLineChars="228"/>
        <w:rPr>
          <w:rFonts w:ascii="仿宋" w:hAnsi="仿宋" w:eastAsia="仿宋" w:cs="仿宋"/>
          <w:sz w:val="32"/>
          <w:szCs w:val="32"/>
        </w:rPr>
      </w:pPr>
      <w:r>
        <w:rPr>
          <w:rFonts w:hint="eastAsia" w:ascii="仿宋" w:hAnsi="仿宋" w:eastAsia="仿宋" w:cs="仿宋"/>
          <w:sz w:val="32"/>
          <w:szCs w:val="32"/>
        </w:rPr>
        <w:t>开发商往往会和其关联的物业公司在买房时给予购房人减免物业费的优惠或者部分地区存在老业主带新业主购房减免物业费情况，按照规定相关的减免物业费视同销售，应申报纳税。</w:t>
      </w:r>
    </w:p>
    <w:p>
      <w:pPr>
        <w:spacing w:line="580" w:lineRule="exact"/>
        <w:ind w:firstLine="643" w:firstLineChars="200"/>
        <w:rPr>
          <w:rFonts w:ascii="楷体_GB2312" w:hAnsi="Times New Roman" w:eastAsia="楷体_GB2312"/>
          <w:b/>
          <w:kern w:val="0"/>
          <w:sz w:val="32"/>
          <w:szCs w:val="32"/>
        </w:rPr>
      </w:pPr>
      <w:r>
        <w:rPr>
          <w:rFonts w:hint="eastAsia" w:ascii="楷体_GB2312" w:hAnsi="Times New Roman" w:eastAsia="楷体_GB2312"/>
          <w:b/>
          <w:kern w:val="0"/>
          <w:sz w:val="32"/>
          <w:szCs w:val="32"/>
        </w:rPr>
        <w:t>（二）代收款项未申报</w:t>
      </w:r>
    </w:p>
    <w:p>
      <w:pPr>
        <w:spacing w:line="580" w:lineRule="exact"/>
        <w:ind w:firstLine="640" w:firstLineChars="200"/>
        <w:rPr>
          <w:rFonts w:ascii="仿宋" w:hAnsi="仿宋" w:eastAsia="仿宋" w:cs="仿宋"/>
          <w:sz w:val="32"/>
          <w:szCs w:val="32"/>
        </w:rPr>
      </w:pPr>
      <w:r>
        <w:rPr>
          <w:rFonts w:hint="eastAsia" w:ascii="仿宋" w:hAnsi="仿宋" w:eastAsia="仿宋" w:cs="仿宋"/>
          <w:sz w:val="32"/>
          <w:szCs w:val="32"/>
        </w:rPr>
        <w:t>在日常费用收取时，除了收取物业公司营业执照上拥有的项目外，还会代收代付一些费用，例如垃圾处置费、楼道灯费、水费、燃（煤）气费、维修基金、第一年的取暖费等，而物业公司对于代收代付所产生的结余款项及服务费、手续费收入未申报缴纳增值税，也未计入企业的收入，少申报应纳企业所得税税款。</w:t>
      </w:r>
    </w:p>
    <w:p>
      <w:pPr>
        <w:adjustRightInd w:val="0"/>
        <w:snapToGrid w:val="0"/>
        <w:spacing w:line="580" w:lineRule="exact"/>
        <w:ind w:firstLine="732" w:firstLineChars="228"/>
        <w:rPr>
          <w:rFonts w:ascii="仿宋" w:hAnsi="仿宋" w:eastAsia="仿宋" w:cs="仿宋"/>
          <w:sz w:val="32"/>
          <w:szCs w:val="32"/>
        </w:rPr>
      </w:pPr>
      <w:r>
        <w:rPr>
          <w:rFonts w:hint="eastAsia" w:ascii="楷体_GB2312" w:hAnsi="Times New Roman" w:eastAsia="楷体_GB2312"/>
          <w:b/>
          <w:kern w:val="0"/>
          <w:sz w:val="32"/>
          <w:szCs w:val="32"/>
        </w:rPr>
        <w:t>（三）物业公司隐匿代为经营停车场、游泳池、各类球</w:t>
      </w:r>
      <w:r>
        <w:rPr>
          <w:rFonts w:hint="eastAsia" w:ascii="仿宋" w:hAnsi="仿宋" w:eastAsia="仿宋" w:cs="仿宋"/>
          <w:sz w:val="32"/>
          <w:szCs w:val="32"/>
        </w:rPr>
        <w:t>场等共用设施取得的收入，房屋中介代理收入、材料物资销售收入、废品回收收入、商业经营收入及无形资产转让收入等，将上述费用不入账或少入账，达到不缴或少缴税款的目的。</w:t>
      </w:r>
    </w:p>
    <w:p>
      <w:pPr>
        <w:adjustRightInd w:val="0"/>
        <w:snapToGrid w:val="0"/>
        <w:spacing w:line="360" w:lineRule="auto"/>
        <w:ind w:firstLine="964" w:firstLineChars="300"/>
        <w:rPr>
          <w:rFonts w:ascii="黑体" w:hAnsi="黑体" w:eastAsia="黑体" w:cs="仿宋"/>
          <w:b/>
          <w:bCs/>
          <w:sz w:val="32"/>
          <w:szCs w:val="32"/>
        </w:rPr>
      </w:pPr>
      <w:r>
        <w:rPr>
          <w:rFonts w:hint="eastAsia" w:ascii="黑体" w:hAnsi="黑体" w:eastAsia="黑体" w:cs="仿宋"/>
          <w:b/>
          <w:bCs/>
          <w:sz w:val="32"/>
          <w:szCs w:val="32"/>
        </w:rPr>
        <w:t>四、物业公司的税收政策</w:t>
      </w:r>
    </w:p>
    <w:p>
      <w:pPr>
        <w:pStyle w:val="5"/>
        <w:widowControl/>
        <w:adjustRightInd w:val="0"/>
        <w:snapToGrid w:val="0"/>
        <w:spacing w:beforeAutospacing="0" w:afterAutospacing="0" w:line="580" w:lineRule="exact"/>
        <w:ind w:firstLine="643" w:firstLineChars="200"/>
        <w:jc w:val="both"/>
        <w:rPr>
          <w:rFonts w:ascii="楷体_GB2312" w:hAnsi="Times New Roman" w:eastAsia="楷体_GB2312" w:cstheme="minorBidi"/>
          <w:b/>
          <w:sz w:val="32"/>
          <w:szCs w:val="32"/>
        </w:rPr>
      </w:pPr>
      <w:r>
        <w:rPr>
          <w:rFonts w:hint="eastAsia" w:ascii="楷体_GB2312" w:hAnsi="Times New Roman" w:eastAsia="楷体_GB2312" w:cstheme="minorBidi"/>
          <w:b/>
          <w:sz w:val="32"/>
          <w:szCs w:val="32"/>
        </w:rPr>
        <w:t>（一）提供物业服务</w:t>
      </w:r>
    </w:p>
    <w:p>
      <w:pPr>
        <w:pStyle w:val="5"/>
        <w:widowControl/>
        <w:adjustRightInd w:val="0"/>
        <w:snapToGrid w:val="0"/>
        <w:spacing w:beforeAutospacing="0" w:afterAutospacing="0" w:line="580" w:lineRule="exact"/>
        <w:ind w:firstLine="676" w:firstLineChars="200"/>
        <w:jc w:val="both"/>
        <w:rPr>
          <w:rFonts w:ascii="仿宋" w:hAnsi="仿宋" w:eastAsia="仿宋"/>
          <w:sz w:val="32"/>
          <w:szCs w:val="32"/>
        </w:rPr>
      </w:pPr>
      <w:r>
        <w:rPr>
          <w:rFonts w:hint="eastAsia" w:ascii="仿宋" w:hAnsi="仿宋" w:eastAsia="仿宋" w:cs="宋体"/>
          <w:color w:val="222222"/>
          <w:spacing w:val="9"/>
          <w:sz w:val="32"/>
          <w:szCs w:val="32"/>
          <w:shd w:val="clear" w:color="auto" w:fill="FFFFFF"/>
        </w:rPr>
        <w:t>物业服务属于营改增后的现代服务业-商业辅助服务-企业管理服务。其中增值税小规模纳税人征收率3%，一般纳税人税率6%。</w:t>
      </w:r>
    </w:p>
    <w:p>
      <w:pPr>
        <w:adjustRightInd w:val="0"/>
        <w:snapToGrid w:val="0"/>
        <w:spacing w:line="580" w:lineRule="exact"/>
        <w:ind w:firstLine="676" w:firstLineChars="200"/>
        <w:rPr>
          <w:rFonts w:ascii="仿宋" w:hAnsi="仿宋" w:eastAsia="仿宋" w:cs="宋体"/>
          <w:color w:val="222222"/>
          <w:spacing w:val="9"/>
          <w:sz w:val="32"/>
          <w:szCs w:val="32"/>
          <w:shd w:val="clear" w:color="auto" w:fill="FFFFFF"/>
        </w:rPr>
      </w:pPr>
      <w:r>
        <w:rPr>
          <w:rFonts w:hint="eastAsia" w:ascii="仿宋" w:hAnsi="仿宋" w:eastAsia="仿宋" w:cs="宋体"/>
          <w:color w:val="222222"/>
          <w:spacing w:val="9"/>
          <w:sz w:val="32"/>
          <w:szCs w:val="32"/>
          <w:shd w:val="clear" w:color="auto" w:fill="FFFFFF"/>
        </w:rPr>
        <w:t>物业服务属于现代服务业，不属于生活服务业，所以一般纳税人的物业公司只可以享受现代服务业10%的增值税进项加计抵减政策，而不是生活服务业15%的加计抵减政策。享受增值税加计抵减的条件是上年度的现代服务占总销售额的比重超过50%。若上年度符合条件，本年度所有的进项（包括电费）都可以享受加计10%抵减的增值税政策。</w:t>
      </w:r>
    </w:p>
    <w:p>
      <w:pPr>
        <w:pStyle w:val="5"/>
        <w:widowControl/>
        <w:adjustRightInd w:val="0"/>
        <w:snapToGrid w:val="0"/>
        <w:spacing w:beforeAutospacing="0" w:afterAutospacing="0" w:line="580" w:lineRule="exact"/>
        <w:ind w:firstLine="643" w:firstLineChars="200"/>
        <w:jc w:val="both"/>
        <w:rPr>
          <w:rFonts w:ascii="楷体_GB2312" w:hAnsi="Times New Roman" w:eastAsia="楷体_GB2312" w:cstheme="minorBidi"/>
          <w:b/>
          <w:sz w:val="32"/>
          <w:szCs w:val="32"/>
        </w:rPr>
      </w:pPr>
      <w:r>
        <w:rPr>
          <w:rFonts w:hint="eastAsia" w:ascii="楷体_GB2312" w:hAnsi="Times New Roman" w:eastAsia="楷体_GB2312" w:cstheme="minorBidi"/>
          <w:b/>
          <w:sz w:val="32"/>
          <w:szCs w:val="32"/>
        </w:rPr>
        <w:t>（二）代收垃圾处理费</w:t>
      </w:r>
    </w:p>
    <w:p>
      <w:pPr>
        <w:pStyle w:val="5"/>
        <w:widowControl/>
        <w:adjustRightInd w:val="0"/>
        <w:snapToGrid w:val="0"/>
        <w:spacing w:beforeAutospacing="0" w:afterAutospacing="0" w:line="580" w:lineRule="exact"/>
        <w:ind w:firstLine="640" w:firstLineChars="200"/>
        <w:jc w:val="both"/>
        <w:rPr>
          <w:rFonts w:ascii="楷体_GB2312" w:hAnsi="Times New Roman" w:eastAsia="楷体_GB2312" w:cstheme="minorBidi"/>
          <w:b/>
          <w:sz w:val="32"/>
          <w:szCs w:val="32"/>
        </w:rPr>
      </w:pPr>
      <w:r>
        <w:rPr>
          <w:rFonts w:hint="eastAsia" w:ascii="仿宋_GB2312" w:hAnsi="仿宋" w:eastAsia="仿宋_GB2312"/>
          <w:sz w:val="32"/>
          <w:szCs w:val="32"/>
        </w:rPr>
        <w:t>《根据河北省城市生活垃圾处理费收费管理办法》有关规定，设区的市、县城以及3万人以上的重点镇和独立工矿区全部开征城市生活垃圾处理费，该费用可由物业服务单位代收代缴。</w:t>
      </w:r>
    </w:p>
    <w:p>
      <w:pPr>
        <w:pStyle w:val="5"/>
        <w:widowControl/>
        <w:adjustRightInd w:val="0"/>
        <w:snapToGrid w:val="0"/>
        <w:spacing w:beforeAutospacing="0" w:afterAutospacing="0" w:line="580" w:lineRule="exact"/>
        <w:ind w:firstLine="643" w:firstLineChars="200"/>
        <w:jc w:val="both"/>
        <w:rPr>
          <w:rFonts w:ascii="楷体_GB2312" w:hAnsi="Times New Roman" w:eastAsia="楷体_GB2312" w:cstheme="minorBidi"/>
          <w:b/>
          <w:sz w:val="32"/>
          <w:szCs w:val="32"/>
        </w:rPr>
      </w:pPr>
      <w:r>
        <w:rPr>
          <w:rFonts w:hint="eastAsia" w:ascii="楷体_GB2312" w:hAnsi="Times New Roman" w:eastAsia="楷体_GB2312" w:cstheme="minorBidi"/>
          <w:b/>
          <w:sz w:val="32"/>
          <w:szCs w:val="32"/>
        </w:rPr>
        <w:t>（三）收取水费</w:t>
      </w:r>
    </w:p>
    <w:p>
      <w:pPr>
        <w:pStyle w:val="5"/>
        <w:widowControl/>
        <w:adjustRightInd w:val="0"/>
        <w:snapToGrid w:val="0"/>
        <w:spacing w:beforeAutospacing="0" w:afterAutospacing="0" w:line="580" w:lineRule="exact"/>
        <w:ind w:firstLine="676" w:firstLineChars="200"/>
        <w:jc w:val="both"/>
        <w:rPr>
          <w:rFonts w:ascii="仿宋" w:hAnsi="仿宋" w:eastAsia="仿宋"/>
          <w:sz w:val="32"/>
          <w:szCs w:val="32"/>
        </w:rPr>
      </w:pPr>
      <w:r>
        <w:rPr>
          <w:rFonts w:hint="eastAsia" w:ascii="仿宋" w:hAnsi="仿宋" w:eastAsia="仿宋" w:cs="宋体"/>
          <w:color w:val="222222"/>
          <w:spacing w:val="9"/>
          <w:sz w:val="32"/>
          <w:szCs w:val="32"/>
          <w:shd w:val="clear" w:color="auto" w:fill="FFFFFF"/>
        </w:rPr>
        <w:t>物业公司上游的自来水公司，多选择3%简易计税，并且由自来水公司代收水资源税。同时对于污水处理，由自来水公司代收，或者污水处理厂自收。</w:t>
      </w:r>
    </w:p>
    <w:p>
      <w:pPr>
        <w:pStyle w:val="5"/>
        <w:widowControl/>
        <w:adjustRightInd w:val="0"/>
        <w:snapToGrid w:val="0"/>
        <w:spacing w:beforeAutospacing="0" w:afterAutospacing="0" w:line="580" w:lineRule="exact"/>
        <w:ind w:firstLine="676" w:firstLineChars="200"/>
        <w:jc w:val="both"/>
        <w:rPr>
          <w:rFonts w:ascii="仿宋" w:hAnsi="仿宋" w:eastAsia="仿宋"/>
          <w:sz w:val="32"/>
          <w:szCs w:val="32"/>
        </w:rPr>
      </w:pPr>
      <w:r>
        <w:rPr>
          <w:rFonts w:hint="eastAsia" w:ascii="仿宋" w:hAnsi="仿宋" w:eastAsia="仿宋" w:cs="宋体"/>
          <w:color w:val="222222"/>
          <w:spacing w:val="9"/>
          <w:sz w:val="32"/>
          <w:szCs w:val="32"/>
          <w:shd w:val="clear" w:color="auto" w:fill="FFFFFF"/>
        </w:rPr>
        <w:t>对于物业公司来说，向住房或租房收取的自来水水费，如果全额计税的话，对于一般纳税人的物业公司增值税税负较大。根据《国家税务总局关于物业管理服务中收取的自来水水费增值税问题的公告》（国家税务总局公告2016年第54号）规定：</w:t>
      </w:r>
      <w:r>
        <w:rPr>
          <w:rFonts w:hint="eastAsia" w:ascii="仿宋" w:hAnsi="仿宋" w:eastAsia="仿宋" w:cs="宋体"/>
          <w:spacing w:val="9"/>
          <w:sz w:val="32"/>
          <w:szCs w:val="32"/>
          <w:shd w:val="clear" w:color="auto" w:fill="FFFFFF"/>
        </w:rPr>
        <w:t>“提供物业管理服务的纳税人，向服务接受方收取的自来水水费，以扣除其对外支付的自来水水费后的余额为销售额，按照简易计税方法依3%的征收率计算缴纳增值税。”</w:t>
      </w:r>
    </w:p>
    <w:p>
      <w:pPr>
        <w:pStyle w:val="5"/>
        <w:widowControl/>
        <w:adjustRightInd w:val="0"/>
        <w:snapToGrid w:val="0"/>
        <w:spacing w:beforeAutospacing="0" w:afterAutospacing="0" w:line="580" w:lineRule="exact"/>
        <w:ind w:firstLine="676" w:firstLineChars="200"/>
        <w:jc w:val="both"/>
        <w:rPr>
          <w:rFonts w:ascii="仿宋" w:hAnsi="仿宋" w:eastAsia="仿宋"/>
          <w:sz w:val="32"/>
          <w:szCs w:val="32"/>
        </w:rPr>
      </w:pPr>
      <w:r>
        <w:rPr>
          <w:rFonts w:hint="eastAsia" w:ascii="仿宋" w:hAnsi="仿宋" w:eastAsia="仿宋" w:cs="宋体"/>
          <w:color w:val="222222"/>
          <w:spacing w:val="9"/>
          <w:sz w:val="32"/>
          <w:szCs w:val="32"/>
          <w:shd w:val="clear" w:color="auto" w:fill="FFFFFF"/>
        </w:rPr>
        <w:t>对于收取的水费及水资源税、污水处理费如何开票，按照《河北营改增问题解答（七）：》“二十二、关于提供物业管理服务的纳税人收取自来水水费问题</w:t>
      </w:r>
    </w:p>
    <w:p>
      <w:pPr>
        <w:pStyle w:val="5"/>
        <w:widowControl/>
        <w:adjustRightInd w:val="0"/>
        <w:snapToGrid w:val="0"/>
        <w:spacing w:beforeAutospacing="0" w:afterAutospacing="0" w:line="580" w:lineRule="exact"/>
        <w:ind w:firstLine="676" w:firstLineChars="200"/>
        <w:jc w:val="both"/>
        <w:rPr>
          <w:rFonts w:ascii="仿宋" w:hAnsi="仿宋" w:eastAsia="仿宋"/>
          <w:sz w:val="32"/>
          <w:szCs w:val="32"/>
        </w:rPr>
      </w:pPr>
      <w:r>
        <w:rPr>
          <w:rFonts w:hint="eastAsia" w:ascii="仿宋" w:hAnsi="仿宋" w:eastAsia="仿宋" w:cs="宋体"/>
          <w:color w:val="222222"/>
          <w:spacing w:val="9"/>
          <w:sz w:val="32"/>
          <w:szCs w:val="32"/>
          <w:shd w:val="clear" w:color="auto" w:fill="FFFFFF"/>
        </w:rPr>
        <w:t>按照《国家税务总局关于物业管理服务中收取的自来水水费增值税问题的公告》（2016年第54号）规定，提供物业管理服务的纳税人，向服务接受方收取的自来水水费，以扣除其对外支付的自来水水费后的余额为销售额，按照简易计税方法依3%的征收率计算缴纳增值税。</w:t>
      </w:r>
    </w:p>
    <w:p>
      <w:pPr>
        <w:pStyle w:val="5"/>
        <w:widowControl/>
        <w:adjustRightInd w:val="0"/>
        <w:snapToGrid w:val="0"/>
        <w:spacing w:beforeAutospacing="0" w:afterAutospacing="0" w:line="580" w:lineRule="exact"/>
        <w:ind w:firstLine="676" w:firstLineChars="200"/>
        <w:jc w:val="both"/>
        <w:rPr>
          <w:rFonts w:ascii="仿宋" w:hAnsi="仿宋" w:eastAsia="仿宋"/>
          <w:sz w:val="32"/>
          <w:szCs w:val="32"/>
        </w:rPr>
      </w:pPr>
      <w:r>
        <w:rPr>
          <w:rFonts w:hint="eastAsia" w:ascii="仿宋" w:hAnsi="仿宋" w:eastAsia="仿宋" w:cs="宋体"/>
          <w:color w:val="222222"/>
          <w:spacing w:val="9"/>
          <w:sz w:val="32"/>
          <w:szCs w:val="32"/>
          <w:shd w:val="clear" w:color="auto" w:fill="FFFFFF"/>
        </w:rPr>
        <w:t>提供物业管理服务的纳税人，扣除其对外支付的自来水水费以发票为合法有效凭证；向服务接受方随水费收取的污水处理费免征增值税；随水费收取的水资源税不征收增值税。纳税人向服务接受方开具增值税发票时，收取的水费全额选择3%征收率，收取的污水处理费选择“免税”，收取的水资源税税款信息在发票备注栏注明，该增值税发票可作为纳税人缴纳水资源税的会计核算原始凭证。”</w:t>
      </w:r>
    </w:p>
    <w:p>
      <w:pPr>
        <w:pStyle w:val="5"/>
        <w:widowControl/>
        <w:adjustRightInd w:val="0"/>
        <w:snapToGrid w:val="0"/>
        <w:spacing w:beforeAutospacing="0" w:afterAutospacing="0" w:line="580" w:lineRule="exact"/>
        <w:ind w:firstLine="643" w:firstLineChars="200"/>
        <w:jc w:val="both"/>
        <w:rPr>
          <w:rFonts w:ascii="楷体_GB2312" w:hAnsi="Times New Roman" w:eastAsia="楷体_GB2312" w:cstheme="minorBidi"/>
          <w:b/>
          <w:sz w:val="32"/>
          <w:szCs w:val="32"/>
        </w:rPr>
      </w:pPr>
      <w:r>
        <w:rPr>
          <w:rFonts w:hint="eastAsia" w:ascii="楷体_GB2312" w:hAnsi="Times New Roman" w:eastAsia="楷体_GB2312" w:cstheme="minorBidi"/>
          <w:b/>
          <w:sz w:val="32"/>
          <w:szCs w:val="32"/>
        </w:rPr>
        <w:t>（四）收取电费</w:t>
      </w:r>
    </w:p>
    <w:p>
      <w:pPr>
        <w:pStyle w:val="5"/>
        <w:widowControl/>
        <w:adjustRightInd w:val="0"/>
        <w:snapToGrid w:val="0"/>
        <w:spacing w:beforeAutospacing="0" w:afterAutospacing="0" w:line="580" w:lineRule="exact"/>
        <w:ind w:firstLine="676" w:firstLineChars="200"/>
        <w:jc w:val="both"/>
        <w:rPr>
          <w:rFonts w:ascii="仿宋" w:hAnsi="仿宋" w:eastAsia="仿宋"/>
          <w:sz w:val="32"/>
          <w:szCs w:val="32"/>
        </w:rPr>
      </w:pPr>
      <w:r>
        <w:rPr>
          <w:rFonts w:hint="eastAsia" w:ascii="仿宋" w:hAnsi="仿宋" w:eastAsia="仿宋" w:cs="宋体"/>
          <w:color w:val="222222"/>
          <w:spacing w:val="9"/>
          <w:sz w:val="32"/>
          <w:szCs w:val="32"/>
          <w:shd w:val="clear" w:color="auto" w:fill="FFFFFF"/>
        </w:rPr>
        <w:t>物业公司收取电费事项，要分清是代收电费还是转售电。如果是代收电费要秉承以下原则 ：</w:t>
      </w:r>
    </w:p>
    <w:p>
      <w:pPr>
        <w:pStyle w:val="5"/>
        <w:widowControl/>
        <w:adjustRightInd w:val="0"/>
        <w:snapToGrid w:val="0"/>
        <w:spacing w:beforeAutospacing="0" w:afterAutospacing="0" w:line="580" w:lineRule="exact"/>
        <w:ind w:firstLine="420"/>
        <w:jc w:val="both"/>
        <w:rPr>
          <w:rFonts w:ascii="仿宋" w:hAnsi="仿宋" w:eastAsia="仿宋"/>
          <w:sz w:val="32"/>
          <w:szCs w:val="32"/>
        </w:rPr>
      </w:pPr>
      <w:r>
        <w:rPr>
          <w:rFonts w:hint="eastAsia" w:ascii="仿宋" w:hAnsi="仿宋" w:eastAsia="仿宋" w:cs="宋体"/>
          <w:color w:val="222222"/>
          <w:spacing w:val="9"/>
          <w:sz w:val="32"/>
          <w:szCs w:val="32"/>
          <w:shd w:val="clear" w:color="auto" w:fill="FFFFFF"/>
        </w:rPr>
        <w:t>（1）物业公司不垫付资金；</w:t>
      </w:r>
    </w:p>
    <w:p>
      <w:pPr>
        <w:pStyle w:val="5"/>
        <w:widowControl/>
        <w:adjustRightInd w:val="0"/>
        <w:snapToGrid w:val="0"/>
        <w:spacing w:beforeAutospacing="0" w:afterAutospacing="0" w:line="580" w:lineRule="exact"/>
        <w:ind w:firstLine="420"/>
        <w:jc w:val="both"/>
        <w:rPr>
          <w:rFonts w:ascii="仿宋" w:hAnsi="仿宋" w:eastAsia="仿宋"/>
          <w:sz w:val="32"/>
          <w:szCs w:val="32"/>
        </w:rPr>
      </w:pPr>
      <w:r>
        <w:rPr>
          <w:rFonts w:hint="eastAsia" w:ascii="仿宋" w:hAnsi="仿宋" w:eastAsia="仿宋" w:cs="宋体"/>
          <w:color w:val="222222"/>
          <w:spacing w:val="9"/>
          <w:sz w:val="32"/>
          <w:szCs w:val="32"/>
          <w:shd w:val="clear" w:color="auto" w:fill="FFFFFF"/>
        </w:rPr>
        <w:t>（2）电力公司等（简称销货方），将发票开具给客户，并由物业公司将该项发票转交给客户；</w:t>
      </w:r>
    </w:p>
    <w:p>
      <w:pPr>
        <w:pStyle w:val="5"/>
        <w:widowControl/>
        <w:adjustRightInd w:val="0"/>
        <w:snapToGrid w:val="0"/>
        <w:spacing w:beforeAutospacing="0" w:afterAutospacing="0" w:line="580" w:lineRule="exact"/>
        <w:ind w:firstLine="676" w:firstLineChars="200"/>
        <w:jc w:val="both"/>
        <w:rPr>
          <w:rFonts w:ascii="仿宋" w:hAnsi="仿宋" w:eastAsia="仿宋"/>
          <w:sz w:val="32"/>
          <w:szCs w:val="32"/>
        </w:rPr>
      </w:pPr>
      <w:r>
        <w:rPr>
          <w:rFonts w:hint="eastAsia" w:ascii="仿宋" w:hAnsi="仿宋" w:eastAsia="仿宋" w:cs="宋体"/>
          <w:color w:val="222222"/>
          <w:spacing w:val="9"/>
          <w:sz w:val="32"/>
          <w:szCs w:val="32"/>
          <w:shd w:val="clear" w:color="auto" w:fill="FFFFFF"/>
        </w:rPr>
        <w:t>如果不符合上述原则，则属于物业公司转售电费，要按适用税率来开票。小规模适用征收率3%，一般纳税人税率13%。</w:t>
      </w:r>
    </w:p>
    <w:p>
      <w:pPr>
        <w:pStyle w:val="5"/>
        <w:widowControl/>
        <w:adjustRightInd w:val="0"/>
        <w:snapToGrid w:val="0"/>
        <w:spacing w:beforeAutospacing="0" w:afterAutospacing="0" w:line="580" w:lineRule="exact"/>
        <w:ind w:firstLine="643" w:firstLineChars="200"/>
        <w:jc w:val="both"/>
        <w:rPr>
          <w:rFonts w:ascii="楷体_GB2312" w:hAnsi="Times New Roman" w:eastAsia="楷体_GB2312" w:cstheme="minorBidi"/>
          <w:b/>
          <w:sz w:val="32"/>
          <w:szCs w:val="32"/>
        </w:rPr>
      </w:pPr>
      <w:r>
        <w:rPr>
          <w:rFonts w:hint="eastAsia" w:ascii="楷体_GB2312" w:hAnsi="Times New Roman" w:eastAsia="楷体_GB2312" w:cstheme="minorBidi"/>
          <w:b/>
          <w:sz w:val="32"/>
          <w:szCs w:val="32"/>
        </w:rPr>
        <w:t>（五）自备热源收取的暖气费</w:t>
      </w:r>
    </w:p>
    <w:p>
      <w:pPr>
        <w:pStyle w:val="5"/>
        <w:widowControl/>
        <w:adjustRightInd w:val="0"/>
        <w:snapToGrid w:val="0"/>
        <w:spacing w:beforeAutospacing="0" w:afterAutospacing="0" w:line="580" w:lineRule="exact"/>
        <w:ind w:firstLine="676" w:firstLineChars="200"/>
        <w:jc w:val="both"/>
        <w:rPr>
          <w:rFonts w:ascii="仿宋" w:hAnsi="仿宋" w:eastAsia="仿宋"/>
          <w:sz w:val="32"/>
          <w:szCs w:val="32"/>
        </w:rPr>
      </w:pPr>
      <w:r>
        <w:rPr>
          <w:rFonts w:hint="eastAsia" w:ascii="仿宋" w:hAnsi="仿宋" w:eastAsia="仿宋" w:cs="宋体"/>
          <w:spacing w:val="9"/>
          <w:sz w:val="32"/>
          <w:szCs w:val="32"/>
          <w:shd w:val="clear" w:color="auto" w:fill="FFFFFF"/>
        </w:rPr>
        <w:t>现行大部分小区实行集中供热，部分小区实行以燃气、电、水源为热源提供的供暖服务。对于此部分暖气费，</w:t>
      </w:r>
      <w:r>
        <w:rPr>
          <w:rStyle w:val="8"/>
          <w:rFonts w:hint="eastAsia" w:ascii="仿宋" w:hAnsi="仿宋" w:eastAsia="仿宋" w:cs="宋体"/>
          <w:spacing w:val="9"/>
          <w:sz w:val="32"/>
          <w:szCs w:val="32"/>
          <w:shd w:val="clear" w:color="auto" w:fill="FFFFFF"/>
        </w:rPr>
        <w:t>如果是对供热企业向居民个人(以下称居民)供热取得的采暖费收入免征增值税。</w:t>
      </w:r>
      <w:r>
        <w:rPr>
          <w:rFonts w:hint="eastAsia" w:ascii="仿宋" w:hAnsi="仿宋" w:eastAsia="仿宋" w:cs="宋体"/>
          <w:spacing w:val="9"/>
          <w:sz w:val="32"/>
          <w:szCs w:val="32"/>
          <w:shd w:val="clear" w:color="auto" w:fill="FFFFFF"/>
        </w:rPr>
        <w:t>向居民供热取得的采暖费收入，包</w:t>
      </w:r>
      <w:r>
        <w:rPr>
          <w:rFonts w:hint="eastAsia" w:ascii="仿宋" w:hAnsi="仿宋" w:eastAsia="仿宋" w:cs="宋体"/>
          <w:color w:val="222222"/>
          <w:spacing w:val="9"/>
          <w:sz w:val="32"/>
          <w:szCs w:val="32"/>
          <w:shd w:val="clear" w:color="auto" w:fill="FFFFFF"/>
        </w:rPr>
        <w:t>括供热企业直接向居民收取的、通过其他单位向居民收取的和由单位代居民缴纳的采暖费。</w:t>
      </w:r>
    </w:p>
    <w:p>
      <w:pPr>
        <w:adjustRightInd w:val="0"/>
        <w:snapToGrid w:val="0"/>
        <w:spacing w:line="580" w:lineRule="exact"/>
        <w:ind w:firstLine="676" w:firstLineChars="200"/>
        <w:rPr>
          <w:rFonts w:ascii="仿宋" w:hAnsi="仿宋" w:eastAsia="仿宋" w:cs="宋体"/>
          <w:color w:val="222222"/>
          <w:spacing w:val="9"/>
          <w:sz w:val="32"/>
          <w:szCs w:val="32"/>
          <w:shd w:val="clear" w:color="auto" w:fill="FFFFFF"/>
        </w:rPr>
      </w:pPr>
      <w:r>
        <w:rPr>
          <w:rFonts w:hint="eastAsia" w:ascii="仿宋" w:hAnsi="仿宋" w:eastAsia="仿宋" w:cs="宋体"/>
          <w:color w:val="222222"/>
          <w:spacing w:val="9"/>
          <w:sz w:val="32"/>
          <w:szCs w:val="32"/>
          <w:shd w:val="clear" w:color="auto" w:fill="FFFFFF"/>
        </w:rPr>
        <w:t>对于向非居民提供的采暖费收入，按9%的税率交纳增值税。</w:t>
      </w:r>
    </w:p>
    <w:p>
      <w:pPr>
        <w:pStyle w:val="5"/>
        <w:widowControl/>
        <w:adjustRightInd w:val="0"/>
        <w:snapToGrid w:val="0"/>
        <w:spacing w:beforeAutospacing="0" w:afterAutospacing="0" w:line="580" w:lineRule="exact"/>
        <w:ind w:firstLine="643" w:firstLineChars="200"/>
        <w:jc w:val="both"/>
        <w:rPr>
          <w:rFonts w:ascii="楷体_GB2312" w:hAnsi="Times New Roman" w:eastAsia="楷体_GB2312" w:cstheme="minorBidi"/>
          <w:b/>
          <w:sz w:val="32"/>
          <w:szCs w:val="32"/>
        </w:rPr>
      </w:pPr>
      <w:r>
        <w:rPr>
          <w:rFonts w:hint="eastAsia" w:ascii="楷体_GB2312" w:hAnsi="Times New Roman" w:eastAsia="楷体_GB2312" w:cstheme="minorBidi"/>
          <w:b/>
          <w:sz w:val="32"/>
          <w:szCs w:val="32"/>
        </w:rPr>
        <w:t>（六）停车费</w:t>
      </w:r>
    </w:p>
    <w:p>
      <w:pPr>
        <w:pStyle w:val="5"/>
        <w:widowControl/>
        <w:adjustRightInd w:val="0"/>
        <w:snapToGrid w:val="0"/>
        <w:spacing w:beforeAutospacing="0" w:afterAutospacing="0" w:line="580" w:lineRule="exact"/>
        <w:ind w:firstLine="676" w:firstLineChars="200"/>
        <w:jc w:val="both"/>
        <w:rPr>
          <w:rFonts w:ascii="仿宋" w:hAnsi="仿宋" w:eastAsia="仿宋"/>
          <w:sz w:val="32"/>
          <w:szCs w:val="32"/>
        </w:rPr>
      </w:pPr>
      <w:r>
        <w:rPr>
          <w:rFonts w:hint="eastAsia" w:ascii="仿宋" w:hAnsi="仿宋" w:eastAsia="仿宋" w:cs="宋体"/>
          <w:color w:val="222222"/>
          <w:spacing w:val="9"/>
          <w:sz w:val="32"/>
          <w:szCs w:val="32"/>
          <w:shd w:val="clear" w:color="auto" w:fill="FFFFFF"/>
        </w:rPr>
        <w:t>物业公司收取的停车管理费、车辆停放服务、道路通行服务（包括过路费、过桥费、过闸费等）等按照不动产经营租赁服务缴纳增值税。</w:t>
      </w:r>
    </w:p>
    <w:p>
      <w:pPr>
        <w:pStyle w:val="5"/>
        <w:widowControl/>
        <w:adjustRightInd w:val="0"/>
        <w:snapToGrid w:val="0"/>
        <w:spacing w:beforeAutospacing="0" w:afterAutospacing="0" w:line="580" w:lineRule="exact"/>
        <w:ind w:firstLine="643" w:firstLineChars="200"/>
        <w:jc w:val="both"/>
        <w:rPr>
          <w:rFonts w:ascii="楷体_GB2312" w:hAnsi="Times New Roman" w:eastAsia="楷体_GB2312" w:cstheme="minorBidi"/>
          <w:b/>
          <w:sz w:val="32"/>
          <w:szCs w:val="32"/>
        </w:rPr>
      </w:pPr>
      <w:r>
        <w:rPr>
          <w:rFonts w:hint="eastAsia" w:ascii="楷体_GB2312" w:hAnsi="Times New Roman" w:eastAsia="楷体_GB2312" w:cstheme="minorBidi"/>
          <w:b/>
          <w:sz w:val="32"/>
          <w:szCs w:val="32"/>
        </w:rPr>
        <w:t>（七）广告费</w:t>
      </w:r>
    </w:p>
    <w:p>
      <w:pPr>
        <w:pStyle w:val="5"/>
        <w:widowControl/>
        <w:adjustRightInd w:val="0"/>
        <w:snapToGrid w:val="0"/>
        <w:spacing w:beforeAutospacing="0" w:afterAutospacing="0" w:line="580" w:lineRule="exact"/>
        <w:ind w:firstLine="676" w:firstLineChars="200"/>
        <w:jc w:val="both"/>
        <w:rPr>
          <w:rFonts w:ascii="仿宋" w:hAnsi="仿宋" w:eastAsia="仿宋"/>
          <w:sz w:val="32"/>
          <w:szCs w:val="32"/>
        </w:rPr>
      </w:pPr>
      <w:r>
        <w:rPr>
          <w:rFonts w:hint="eastAsia" w:ascii="仿宋" w:hAnsi="仿宋" w:eastAsia="仿宋" w:cs="宋体"/>
          <w:color w:val="222222"/>
          <w:spacing w:val="9"/>
          <w:sz w:val="32"/>
          <w:szCs w:val="32"/>
          <w:shd w:val="clear" w:color="auto" w:fill="FFFFFF"/>
        </w:rPr>
        <w:t>物业公司提供电梯广告、墙体广告，按不动产租赁纳税。</w:t>
      </w:r>
    </w:p>
    <w:p>
      <w:pPr>
        <w:pStyle w:val="5"/>
        <w:widowControl/>
        <w:adjustRightInd w:val="0"/>
        <w:snapToGrid w:val="0"/>
        <w:spacing w:beforeAutospacing="0" w:afterAutospacing="0" w:line="580" w:lineRule="exact"/>
        <w:ind w:firstLine="643" w:firstLineChars="200"/>
        <w:jc w:val="both"/>
        <w:rPr>
          <w:rFonts w:ascii="楷体_GB2312" w:hAnsi="Times New Roman" w:eastAsia="楷体_GB2312" w:cstheme="minorBidi"/>
          <w:b/>
          <w:sz w:val="32"/>
          <w:szCs w:val="32"/>
        </w:rPr>
      </w:pPr>
      <w:r>
        <w:rPr>
          <w:rFonts w:hint="eastAsia" w:ascii="楷体_GB2312" w:hAnsi="Times New Roman" w:eastAsia="楷体_GB2312" w:cstheme="minorBidi"/>
          <w:b/>
          <w:sz w:val="32"/>
          <w:szCs w:val="32"/>
        </w:rPr>
        <w:t>（八）代收费用</w:t>
      </w:r>
    </w:p>
    <w:p>
      <w:pPr>
        <w:adjustRightInd w:val="0"/>
        <w:snapToGrid w:val="0"/>
        <w:spacing w:line="580" w:lineRule="exact"/>
        <w:ind w:firstLine="729" w:firstLineChars="228"/>
        <w:rPr>
          <w:rFonts w:ascii="仿宋" w:hAnsi="仿宋" w:eastAsia="仿宋" w:cs="仿宋"/>
          <w:sz w:val="32"/>
          <w:szCs w:val="32"/>
        </w:rPr>
      </w:pPr>
      <w:r>
        <w:rPr>
          <w:rFonts w:hint="eastAsia" w:ascii="仿宋" w:hAnsi="仿宋" w:eastAsia="仿宋" w:cs="仿宋"/>
          <w:sz w:val="32"/>
          <w:szCs w:val="32"/>
        </w:rPr>
        <w:t>按照《国家税务总局关于物业管理企业的代收费用有关营业税问题的通知》（国税发[1998]217号 ）规定：物业管理企业代有关部门收取的各项费用属于营业税“服务业”税目中的“代理”业务，应对其从事代理业务取得的手续费收入计征营业税。营改增后该通知并没有失效，所以可以推定物业管理企业代有关部门收取的各项费用属于增值税“服务业”税目中的“代理”业务，应对其从事代理业务取得的手续费收入计征增值税。</w:t>
      </w:r>
    </w:p>
    <w:p>
      <w:pPr>
        <w:pStyle w:val="5"/>
        <w:widowControl/>
        <w:adjustRightInd w:val="0"/>
        <w:snapToGrid w:val="0"/>
        <w:spacing w:beforeAutospacing="0" w:afterAutospacing="0" w:line="580" w:lineRule="exact"/>
        <w:ind w:firstLine="643" w:firstLineChars="200"/>
        <w:jc w:val="both"/>
        <w:rPr>
          <w:rFonts w:ascii="楷体_GB2312" w:hAnsi="Times New Roman" w:eastAsia="楷体_GB2312" w:cstheme="minorBidi"/>
          <w:b/>
          <w:sz w:val="32"/>
          <w:szCs w:val="32"/>
        </w:rPr>
      </w:pPr>
      <w:r>
        <w:rPr>
          <w:rFonts w:hint="eastAsia" w:ascii="楷体_GB2312" w:hAnsi="Times New Roman" w:eastAsia="楷体_GB2312" w:cstheme="minorBidi"/>
          <w:b/>
          <w:sz w:val="32"/>
          <w:szCs w:val="32"/>
        </w:rPr>
        <w:t>（九）物业用房缴纳房产税</w:t>
      </w:r>
    </w:p>
    <w:p>
      <w:pPr>
        <w:shd w:val="clear" w:color="auto" w:fill="FFFFFF"/>
        <w:adjustRightInd w:val="0"/>
        <w:snapToGrid w:val="0"/>
        <w:spacing w:line="580" w:lineRule="exact"/>
        <w:ind w:firstLine="480" w:firstLineChars="150"/>
        <w:rPr>
          <w:rFonts w:ascii="仿宋_GB2312" w:eastAsia="仿宋_GB2312"/>
          <w:sz w:val="32"/>
          <w:szCs w:val="32"/>
        </w:rPr>
      </w:pPr>
      <w:r>
        <w:rPr>
          <w:rFonts w:hint="eastAsia" w:ascii="仿宋_GB2312" w:eastAsia="仿宋_GB2312"/>
          <w:sz w:val="32"/>
          <w:szCs w:val="32"/>
        </w:rPr>
        <w:t>《财政部　国家税务总局关于房产税、城镇土地使用税有关政策的通知》（财税[2006]186号）第一条：关于居民住宅区内业主共有的经营性房产缴纳房产税问题：</w:t>
      </w:r>
      <w:r>
        <w:rPr>
          <w:rFonts w:hint="eastAsia" w:ascii="仿宋_GB2312" w:eastAsia="仿宋_GB2312"/>
          <w:b/>
          <w:bCs/>
          <w:sz w:val="32"/>
          <w:szCs w:val="32"/>
        </w:rPr>
        <w:t>对居民住宅区内业主共有的经营性房产，由实际经营（包括自营和出租）的代管人或使用人缴纳房产税。</w:t>
      </w:r>
      <w:r>
        <w:rPr>
          <w:rFonts w:hint="eastAsia" w:ascii="仿宋_GB2312" w:eastAsia="仿宋_GB2312"/>
          <w:sz w:val="32"/>
          <w:szCs w:val="32"/>
        </w:rPr>
        <w:t>其中自营的，依照房产原值减除10%至30%后的余值计征，没有房产原值或不能将业主共有房产与其他房产的原值准确划分开的，由房产所在地地方税务机关参照同类房产核定房产原值；出租的，依照租金收入计征。</w:t>
      </w:r>
    </w:p>
    <w:p>
      <w:pPr>
        <w:pStyle w:val="5"/>
        <w:widowControl/>
        <w:adjustRightInd w:val="0"/>
        <w:snapToGrid w:val="0"/>
        <w:spacing w:beforeAutospacing="0" w:afterAutospacing="0" w:line="580" w:lineRule="exact"/>
        <w:ind w:firstLine="643" w:firstLineChars="200"/>
        <w:jc w:val="both"/>
        <w:rPr>
          <w:rFonts w:ascii="楷体_GB2312" w:hAnsi="Times New Roman" w:eastAsia="楷体_GB2312" w:cstheme="minorBidi"/>
          <w:b/>
          <w:sz w:val="32"/>
          <w:szCs w:val="32"/>
        </w:rPr>
      </w:pPr>
      <w:r>
        <w:rPr>
          <w:rFonts w:hint="eastAsia" w:ascii="楷体_GB2312" w:hAnsi="Times New Roman" w:eastAsia="楷体_GB2312" w:cstheme="minorBidi"/>
          <w:b/>
          <w:sz w:val="32"/>
          <w:szCs w:val="32"/>
        </w:rPr>
        <w:t>（十）纳税义务发生时间</w:t>
      </w:r>
    </w:p>
    <w:p>
      <w:pPr>
        <w:pStyle w:val="5"/>
        <w:widowControl/>
        <w:adjustRightInd w:val="0"/>
        <w:snapToGrid w:val="0"/>
        <w:spacing w:beforeAutospacing="0" w:afterAutospacing="0" w:line="580" w:lineRule="exact"/>
        <w:ind w:firstLine="676" w:firstLineChars="200"/>
        <w:jc w:val="both"/>
        <w:rPr>
          <w:rFonts w:ascii="仿宋" w:hAnsi="仿宋" w:eastAsia="仿宋"/>
          <w:sz w:val="32"/>
          <w:szCs w:val="32"/>
        </w:rPr>
      </w:pPr>
      <w:r>
        <w:rPr>
          <w:rFonts w:hint="eastAsia" w:ascii="仿宋" w:hAnsi="仿宋" w:eastAsia="仿宋" w:cs="宋体"/>
          <w:spacing w:val="9"/>
          <w:sz w:val="32"/>
          <w:szCs w:val="32"/>
          <w:shd w:val="clear" w:color="auto" w:fill="FFFFFF"/>
        </w:rPr>
        <w:t>对于一次性收取的跨年的水、电、物业管理费用，按受益期进行均摊，确认相应的会计收入和所得税收入。对于增值税来说，除非一次性开票，否则也是按受益期进行分摊。</w:t>
      </w:r>
    </w:p>
    <w:p>
      <w:pPr>
        <w:spacing w:line="580" w:lineRule="exact"/>
        <w:ind w:firstLine="640" w:firstLineChars="200"/>
        <w:rPr>
          <w:rFonts w:ascii="黑体" w:hAnsi="黑体" w:eastAsia="黑体"/>
          <w:kern w:val="0"/>
          <w:sz w:val="32"/>
          <w:szCs w:val="3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简体">
    <w:panose1 w:val="02010601030101010101"/>
    <w:charset w:val="86"/>
    <w:family w:val="auto"/>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宋体">
    <w:panose1 w:val="02010600030101010101"/>
    <w:charset w:val="86"/>
    <w:family w:val="auto"/>
    <w:pitch w:val="variable"/>
    <w:sig w:usb0="00000003" w:usb1="288F0000" w:usb2="00000006" w:usb3="00000000" w:csb0="00040001" w:csb1="00000000"/>
  </w:font>
  <w:font w:name="Cambria Math">
    <w:panose1 w:val="02040503050406030204"/>
    <w:charset w:val="01"/>
    <w:family w:val="auto"/>
    <w:pitch w:val="variable"/>
    <w:sig w:usb0="E00002FF" w:usb1="420024FF" w:usb2="00000000" w:usb3="00000000" w:csb0="2000019F" w:csb1="00000000"/>
  </w:font>
  <w:font w:name="@仿宋_GB2312">
    <w:panose1 w:val="02010609030101010101"/>
    <w:charset w:val="86"/>
    <w:family w:val="auto"/>
    <w:pitch w:val="fixed"/>
    <w:sig w:usb0="00000001" w:usb1="080E0000" w:usb2="00000000" w:usb3="00000000" w:csb0="00040000" w:csb1="00000000"/>
  </w:font>
  <w:font w:name="@仿宋">
    <w:panose1 w:val="02010609060101010101"/>
    <w:charset w:val="86"/>
    <w:family w:val="auto"/>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doNotUseIndentAsNumberingTabStop/>
    <w:useAltKinsokuLineBreakRules/>
    <w:compatSetting w:name="compatibilityMode" w:uri="http://schemas.microsoft.com/office/word" w:val="12"/>
  </w:compat>
  <w:rsids>
    <w:rsidRoot w:val="00490F74"/>
    <w:rsid w:val="00017934"/>
    <w:rsid w:val="00034BA9"/>
    <w:rsid w:val="000428D1"/>
    <w:rsid w:val="00051280"/>
    <w:rsid w:val="00077C3F"/>
    <w:rsid w:val="000832C6"/>
    <w:rsid w:val="000877F7"/>
    <w:rsid w:val="00090FF8"/>
    <w:rsid w:val="00094590"/>
    <w:rsid w:val="000A49CB"/>
    <w:rsid w:val="000A5966"/>
    <w:rsid w:val="000B2459"/>
    <w:rsid w:val="000F52D5"/>
    <w:rsid w:val="0011233D"/>
    <w:rsid w:val="0015416A"/>
    <w:rsid w:val="00172760"/>
    <w:rsid w:val="00175F6F"/>
    <w:rsid w:val="00183E49"/>
    <w:rsid w:val="001D295B"/>
    <w:rsid w:val="001D6DE6"/>
    <w:rsid w:val="001E0D1A"/>
    <w:rsid w:val="001E1EED"/>
    <w:rsid w:val="001E5E76"/>
    <w:rsid w:val="001E7EDC"/>
    <w:rsid w:val="00226DF5"/>
    <w:rsid w:val="002332AA"/>
    <w:rsid w:val="0024164F"/>
    <w:rsid w:val="00251897"/>
    <w:rsid w:val="00272792"/>
    <w:rsid w:val="00286B46"/>
    <w:rsid w:val="00295462"/>
    <w:rsid w:val="002C34D6"/>
    <w:rsid w:val="002F37C4"/>
    <w:rsid w:val="003067A4"/>
    <w:rsid w:val="0031733A"/>
    <w:rsid w:val="00317504"/>
    <w:rsid w:val="003274BB"/>
    <w:rsid w:val="00346546"/>
    <w:rsid w:val="0036494A"/>
    <w:rsid w:val="003A541C"/>
    <w:rsid w:val="003F1029"/>
    <w:rsid w:val="003F7705"/>
    <w:rsid w:val="004020FD"/>
    <w:rsid w:val="00422789"/>
    <w:rsid w:val="004231C9"/>
    <w:rsid w:val="00433721"/>
    <w:rsid w:val="00441C60"/>
    <w:rsid w:val="004567D8"/>
    <w:rsid w:val="00456A97"/>
    <w:rsid w:val="00462171"/>
    <w:rsid w:val="00463E62"/>
    <w:rsid w:val="0048268B"/>
    <w:rsid w:val="0048456F"/>
    <w:rsid w:val="00490F74"/>
    <w:rsid w:val="004949ED"/>
    <w:rsid w:val="004A0702"/>
    <w:rsid w:val="004A44E4"/>
    <w:rsid w:val="004B2169"/>
    <w:rsid w:val="004B56C5"/>
    <w:rsid w:val="004D5E1A"/>
    <w:rsid w:val="004F43A1"/>
    <w:rsid w:val="00511035"/>
    <w:rsid w:val="00525D07"/>
    <w:rsid w:val="00535F75"/>
    <w:rsid w:val="00543152"/>
    <w:rsid w:val="00544B51"/>
    <w:rsid w:val="0054520B"/>
    <w:rsid w:val="005515A4"/>
    <w:rsid w:val="00551B93"/>
    <w:rsid w:val="00583E64"/>
    <w:rsid w:val="00594559"/>
    <w:rsid w:val="005977E9"/>
    <w:rsid w:val="005C09CA"/>
    <w:rsid w:val="005C1C27"/>
    <w:rsid w:val="005F3D63"/>
    <w:rsid w:val="005F4C27"/>
    <w:rsid w:val="00617049"/>
    <w:rsid w:val="00621199"/>
    <w:rsid w:val="00650533"/>
    <w:rsid w:val="00654D65"/>
    <w:rsid w:val="00671BEB"/>
    <w:rsid w:val="006725F1"/>
    <w:rsid w:val="0068307D"/>
    <w:rsid w:val="00686746"/>
    <w:rsid w:val="006955E1"/>
    <w:rsid w:val="006A0E3C"/>
    <w:rsid w:val="006C7D80"/>
    <w:rsid w:val="006D74F8"/>
    <w:rsid w:val="006F1DDB"/>
    <w:rsid w:val="006F7FE5"/>
    <w:rsid w:val="00711781"/>
    <w:rsid w:val="007125D1"/>
    <w:rsid w:val="0072484E"/>
    <w:rsid w:val="00726CE0"/>
    <w:rsid w:val="007424B8"/>
    <w:rsid w:val="00766823"/>
    <w:rsid w:val="007A2E23"/>
    <w:rsid w:val="007B1B8D"/>
    <w:rsid w:val="007C14F2"/>
    <w:rsid w:val="007D1EDB"/>
    <w:rsid w:val="008177C6"/>
    <w:rsid w:val="00835CE5"/>
    <w:rsid w:val="00861CA8"/>
    <w:rsid w:val="0087197D"/>
    <w:rsid w:val="008770AC"/>
    <w:rsid w:val="008A3F09"/>
    <w:rsid w:val="008A4BC2"/>
    <w:rsid w:val="008B289D"/>
    <w:rsid w:val="008B68F9"/>
    <w:rsid w:val="008F460B"/>
    <w:rsid w:val="009014CF"/>
    <w:rsid w:val="0092205A"/>
    <w:rsid w:val="009308F8"/>
    <w:rsid w:val="009505C2"/>
    <w:rsid w:val="009641ED"/>
    <w:rsid w:val="009910F5"/>
    <w:rsid w:val="009A2E3C"/>
    <w:rsid w:val="009B0A34"/>
    <w:rsid w:val="009B529F"/>
    <w:rsid w:val="009D2372"/>
    <w:rsid w:val="009D7C7A"/>
    <w:rsid w:val="009E2211"/>
    <w:rsid w:val="009E28B0"/>
    <w:rsid w:val="009E6A33"/>
    <w:rsid w:val="009F3FEC"/>
    <w:rsid w:val="00A51E44"/>
    <w:rsid w:val="00A552BE"/>
    <w:rsid w:val="00A82830"/>
    <w:rsid w:val="00A8438A"/>
    <w:rsid w:val="00A94D0F"/>
    <w:rsid w:val="00AC2EB7"/>
    <w:rsid w:val="00AC7E2A"/>
    <w:rsid w:val="00AD09DA"/>
    <w:rsid w:val="00AD2CAD"/>
    <w:rsid w:val="00B00A8E"/>
    <w:rsid w:val="00B0105C"/>
    <w:rsid w:val="00B055FA"/>
    <w:rsid w:val="00B51174"/>
    <w:rsid w:val="00B542FE"/>
    <w:rsid w:val="00B56690"/>
    <w:rsid w:val="00B70DAC"/>
    <w:rsid w:val="00B90A66"/>
    <w:rsid w:val="00C35995"/>
    <w:rsid w:val="00C51C7E"/>
    <w:rsid w:val="00C57006"/>
    <w:rsid w:val="00CF5BCE"/>
    <w:rsid w:val="00D11B73"/>
    <w:rsid w:val="00D2122F"/>
    <w:rsid w:val="00D21F66"/>
    <w:rsid w:val="00D2277E"/>
    <w:rsid w:val="00D24A71"/>
    <w:rsid w:val="00D27C66"/>
    <w:rsid w:val="00D313C6"/>
    <w:rsid w:val="00D52002"/>
    <w:rsid w:val="00D63D5D"/>
    <w:rsid w:val="00D65513"/>
    <w:rsid w:val="00D82115"/>
    <w:rsid w:val="00DA0DC3"/>
    <w:rsid w:val="00DB7D2A"/>
    <w:rsid w:val="00DC2B67"/>
    <w:rsid w:val="00E24C0C"/>
    <w:rsid w:val="00E3686A"/>
    <w:rsid w:val="00E42713"/>
    <w:rsid w:val="00E62409"/>
    <w:rsid w:val="00E6746A"/>
    <w:rsid w:val="00E77453"/>
    <w:rsid w:val="00E85186"/>
    <w:rsid w:val="00E929D1"/>
    <w:rsid w:val="00E97720"/>
    <w:rsid w:val="00EB0740"/>
    <w:rsid w:val="00ED6884"/>
    <w:rsid w:val="00EE51CD"/>
    <w:rsid w:val="00EF2283"/>
    <w:rsid w:val="00EF2E26"/>
    <w:rsid w:val="00EF508A"/>
    <w:rsid w:val="00F25CCA"/>
    <w:rsid w:val="00F32581"/>
    <w:rsid w:val="00F40132"/>
    <w:rsid w:val="00F42E9B"/>
    <w:rsid w:val="00F768A2"/>
    <w:rsid w:val="00F90F5D"/>
    <w:rsid w:val="00FA0216"/>
    <w:rsid w:val="00FA6440"/>
    <w:rsid w:val="00FC3BFF"/>
    <w:rsid w:val="0A58792B"/>
    <w:rsid w:val="196B743C"/>
    <w:rsid w:val="333C55C0"/>
    <w:rsid w:val="3C9E0941"/>
    <w:rsid w:val="775A61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uiPriority w:val="1"/>
  </w:style>
  <w:style w:type="table" w:default="1" w:styleId="6">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Calibri" w:hAnsi="Calibri" w:cs="Calibri"/>
      <w:kern w:val="2"/>
      <w:sz w:val="21"/>
      <w:szCs w:val="22"/>
    </w:rPr>
    <w:tblPr>
      <w:tblCellMar>
        <w:top w:w="0" w:type="dxa"/>
        <w:left w:w="108" w:type="dxa"/>
        <w:bottom w:w="0" w:type="dxa"/>
        <w:right w:w="108" w:type="dxa"/>
      </w:tblCellMar>
    </w:tblPr>
  </w:style>
  <w:style w:type="paragraph" w:styleId="2">
    <w:name w:val="Body Text"/>
    <w:basedOn w:val="1"/>
    <w:link w:val="11"/>
    <w:qFormat/>
    <w:uiPriority w:val="0"/>
    <w:pPr>
      <w:spacing w:after="120"/>
    </w:pPr>
  </w:style>
  <w:style w:type="paragraph" w:styleId="3">
    <w:name w:val="footer"/>
    <w:basedOn w:val="1"/>
    <w:link w:val="10"/>
    <w:semiHidden/>
    <w:unhideWhenUsed/>
    <w:qFormat/>
    <w:uiPriority w:val="99"/>
    <w:pPr>
      <w:tabs>
        <w:tab w:val="center" w:pos="4153"/>
        <w:tab w:val="right" w:pos="8306"/>
      </w:tabs>
      <w:snapToGrid w:val="0"/>
      <w:jc w:val="left"/>
    </w:pPr>
    <w:rPr>
      <w:sz w:val="18"/>
      <w:szCs w:val="18"/>
    </w:rPr>
  </w:style>
  <w:style w:type="paragraph" w:styleId="4">
    <w:name w:val="header"/>
    <w:basedOn w:val="1"/>
    <w:link w:val="9"/>
    <w:semiHidden/>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spacing w:beforeAutospacing="1" w:afterAutospacing="1"/>
      <w:jc w:val="left"/>
    </w:pPr>
    <w:rPr>
      <w:rFonts w:cs="Times New Roman"/>
      <w:kern w:val="0"/>
      <w:sz w:val="24"/>
      <w:szCs w:val="24"/>
    </w:rPr>
  </w:style>
  <w:style w:type="character" w:styleId="8">
    <w:name w:val="Strong"/>
    <w:basedOn w:val="7"/>
    <w:qFormat/>
    <w:uiPriority w:val="0"/>
    <w:rPr>
      <w:b/>
    </w:rPr>
  </w:style>
  <w:style w:type="character" w:customStyle="1" w:styleId="9">
    <w:name w:val="页眉 Char"/>
    <w:basedOn w:val="7"/>
    <w:link w:val="4"/>
    <w:semiHidden/>
    <w:qFormat/>
    <w:uiPriority w:val="99"/>
    <w:rPr>
      <w:sz w:val="18"/>
      <w:szCs w:val="18"/>
    </w:rPr>
  </w:style>
  <w:style w:type="character" w:customStyle="1" w:styleId="10">
    <w:name w:val="页脚 Char"/>
    <w:basedOn w:val="7"/>
    <w:link w:val="3"/>
    <w:semiHidden/>
    <w:qFormat/>
    <w:uiPriority w:val="99"/>
    <w:rPr>
      <w:sz w:val="18"/>
      <w:szCs w:val="18"/>
    </w:rPr>
  </w:style>
  <w:style w:type="character" w:customStyle="1" w:styleId="11">
    <w:name w:val="正文文本 Char"/>
    <w:basedOn w:val="7"/>
    <w:link w:val="2"/>
    <w:qFormat/>
    <w:uiPriority w:val="0"/>
    <w:rPr>
      <w:kern w:val="2"/>
      <w:sz w:val="21"/>
      <w:szCs w:val="22"/>
    </w:rPr>
  </w:style>
  <w:style w:type="paragraph" w:styleId="12">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14</Pages>
  <Words>1072</Words>
  <Characters>6115</Characters>
  <Lines>50</Lines>
  <Paragraphs>14</Paragraphs>
  <TotalTime>0</TotalTime>
  <ScaleCrop>false</ScaleCrop>
  <LinksUpToDate>false</LinksUpToDate>
  <CharactersWithSpaces>7173</CharactersWithSpaces>
  <Application>WPS Office_11.8.2.10158_F1E327BC-269C-435d-A152-05C5408002CA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2023-03-29T01:10:00Z</dcterms:created>
  <dc:creator>lnn</dc:creator>
  <cp:lastModifiedBy>lnn</cp:lastModifiedBy>
  <cp:lastPrinted>2023-03-17T09:33:00Z</cp:lastPrinted>
  <dcterms:modified xsi:type="dcterms:W3CDTF">2023-04-07T05:34:50Z</dcterms:modified>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2052-11.8.2.10158</vt:lpwstr>
  </property>
</Properties>
</file>