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exact"/>
        <w:jc w:val="center"/>
      </w:pPr>
      <w:r>
        <w:rPr>
          <w:rFonts w:ascii="Times New Roman" w:hAnsi="Times New Roman" w:eastAsia="黑体"/>
          <w:b w:val="0"/>
          <w:sz w:val="44"/>
        </w:rPr>
        <w:t>河北省财经行业产教融合共同体典型案例</w:t>
      </w:r>
    </w:p>
    <w:tbl>
      <w:tblPr>
        <w:tblStyle w:val="TableGrid"/>
        <w:tblW w:type="auto" w:w="0"/>
        <w:tblLook w:firstColumn="1" w:firstRow="1" w:lastColumn="0" w:lastRow="0" w:noHBand="0" w:noVBand="1" w:val="04A0"/>
      </w:tblPr>
      <w:tblGrid>
        <w:gridCol w:w="4150"/>
        <w:gridCol w:w="4150"/>
      </w:tblGrid>
      <w:tr>
        <w:tc>
          <w:tcPr>
            <w:tcW w:type="dxa" w:w="1984"/>
            <w:vAlign w:val="center"/>
          </w:tcPr>
          <w:p>
            <w:pPr>
              <w:spacing w:line="480" w:lineRule="exact"/>
            </w:pPr>
            <w:r/>
            <w:r>
              <w:rPr>
                <w:rFonts w:ascii="Times New Roman" w:hAnsi="Times New Roman" w:eastAsia="仿宋_GB2312"/>
                <w:b/>
                <w:sz w:val="28"/>
              </w:rPr>
              <w:t>案例名称</w:t>
            </w:r>
          </w:p>
        </w:tc>
        <w:tc>
          <w:tcPr>
            <w:tcW w:type="dxa" w:w="6236"/>
            <w:vAlign w:val="center"/>
          </w:tcPr>
          <w:p>
            <w:pPr>
              <w:spacing w:line="480" w:lineRule="exact"/>
            </w:pPr>
            <w:r/>
            <w:r>
              <w:rPr>
                <w:rFonts w:ascii="Times New Roman" w:hAnsi="Times New Roman" w:eastAsia="仿宋_GB2312"/>
                <w:b w:val="0"/>
                <w:sz w:val="28"/>
              </w:rPr>
              <w:t>AI赋能、产教融合——财税知识库协同育人实践</w:t>
            </w:r>
          </w:p>
        </w:tc>
      </w:tr>
      <w:tr>
        <w:tc>
          <w:tcPr>
            <w:tcW w:type="dxa" w:w="1984"/>
            <w:vAlign w:val="center"/>
          </w:tcPr>
          <w:p>
            <w:pPr>
              <w:spacing w:line="480" w:lineRule="exact"/>
            </w:pPr>
            <w:r/>
            <w:r>
              <w:rPr>
                <w:rFonts w:ascii="Times New Roman" w:hAnsi="Times New Roman" w:eastAsia="仿宋_GB2312"/>
                <w:b/>
                <w:sz w:val="28"/>
              </w:rPr>
              <w:t>申报层面</w:t>
            </w:r>
          </w:p>
        </w:tc>
        <w:tc>
          <w:tcPr>
            <w:tcW w:type="dxa" w:w="6236"/>
            <w:vAlign w:val="center"/>
          </w:tcPr>
          <w:p>
            <w:pPr>
              <w:spacing w:line="480" w:lineRule="exact"/>
            </w:pPr>
            <w:r/>
            <w:r>
              <w:rPr>
                <w:rFonts w:ascii="Times New Roman" w:hAnsi="Times New Roman" w:eastAsia="仿宋_GB2312"/>
                <w:b w:val="0"/>
                <w:sz w:val="28"/>
              </w:rPr>
              <w:t>☑院校层面　　□企业层面</w:t>
            </w:r>
          </w:p>
        </w:tc>
      </w:tr>
      <w:tr>
        <w:tc>
          <w:tcPr>
            <w:tcW w:type="dxa" w:w="1984"/>
            <w:vAlign w:val="center"/>
          </w:tcPr>
          <w:p>
            <w:pPr>
              <w:spacing w:line="480" w:lineRule="exact"/>
            </w:pPr>
            <w:r/>
            <w:r>
              <w:rPr>
                <w:rFonts w:ascii="Times New Roman" w:hAnsi="Times New Roman" w:eastAsia="仿宋_GB2312"/>
                <w:b/>
                <w:sz w:val="28"/>
              </w:rPr>
              <w:t>主题类别</w:t>
            </w:r>
          </w:p>
        </w:tc>
        <w:tc>
          <w:tcPr>
            <w:tcW w:type="dxa" w:w="6236"/>
            <w:vAlign w:val="center"/>
          </w:tcPr>
          <w:p>
            <w:pPr>
              <w:spacing w:line="480" w:lineRule="exact"/>
            </w:pPr>
            <w:r/>
            <w:r>
              <w:rPr>
                <w:rFonts w:ascii="Times New Roman" w:hAnsi="Times New Roman" w:eastAsia="仿宋_GB2312"/>
                <w:b w:val="0"/>
                <w:sz w:val="28"/>
              </w:rPr>
              <w:t>院校层面（2）数智化财经人才培养模式改革案例</w:t>
            </w:r>
          </w:p>
        </w:tc>
      </w:tr>
      <w:tr>
        <w:tc>
          <w:tcPr>
            <w:tcW w:type="dxa" w:w="1984"/>
            <w:vAlign w:val="center"/>
          </w:tcPr>
          <w:p>
            <w:pPr>
              <w:spacing w:line="480" w:lineRule="exact"/>
            </w:pPr>
            <w:r/>
            <w:r>
              <w:rPr>
                <w:rFonts w:ascii="Times New Roman" w:hAnsi="Times New Roman" w:eastAsia="仿宋_GB2312"/>
                <w:b/>
                <w:sz w:val="28"/>
              </w:rPr>
              <w:t>申报单位</w:t>
            </w:r>
          </w:p>
        </w:tc>
        <w:tc>
          <w:tcPr>
            <w:tcW w:type="dxa" w:w="6236"/>
            <w:vAlign w:val="center"/>
          </w:tcPr>
          <w:p>
            <w:pPr>
              <w:spacing w:line="480" w:lineRule="exact"/>
            </w:pPr>
            <w:r/>
            <w:r>
              <w:rPr>
                <w:rFonts w:ascii="Times New Roman" w:hAnsi="Times New Roman" w:eastAsia="仿宋_GB2312"/>
                <w:b w:val="0"/>
                <w:sz w:val="28"/>
              </w:rPr>
              <w:t>石家庄邮电职业技术学院</w:t>
            </w:r>
          </w:p>
        </w:tc>
      </w:tr>
      <w:tr>
        <w:tc>
          <w:tcPr>
            <w:tcW w:type="dxa" w:w="1984"/>
            <w:vAlign w:val="center"/>
          </w:tcPr>
          <w:p>
            <w:pPr>
              <w:spacing w:line="480" w:lineRule="exact"/>
            </w:pPr>
            <w:r/>
            <w:r>
              <w:rPr>
                <w:rFonts w:ascii="Times New Roman" w:hAnsi="Times New Roman" w:eastAsia="仿宋_GB2312"/>
                <w:b/>
                <w:sz w:val="28"/>
              </w:rPr>
              <w:t>联合申报单位</w:t>
            </w:r>
          </w:p>
        </w:tc>
        <w:tc>
          <w:tcPr>
            <w:tcW w:type="dxa" w:w="6236"/>
            <w:vAlign w:val="center"/>
          </w:tcPr>
          <w:p>
            <w:pPr>
              <w:spacing w:line="480" w:lineRule="exact"/>
            </w:pPr>
            <w:r/>
            <w:r>
              <w:rPr>
                <w:rFonts w:ascii="Times New Roman" w:hAnsi="Times New Roman" w:eastAsia="仿宋_GB2312"/>
                <w:b w:val="0"/>
                <w:sz w:val="28"/>
              </w:rPr>
              <w:t>河北企富财税管理有限公司</w:t>
            </w:r>
          </w:p>
        </w:tc>
      </w:tr>
      <w:tr>
        <w:tc>
          <w:tcPr>
            <w:tcW w:type="dxa" w:w="1984"/>
            <w:vAlign w:val="center"/>
          </w:tcPr>
          <w:p>
            <w:pPr>
              <w:spacing w:line="480" w:lineRule="exact"/>
            </w:pPr>
            <w:r/>
            <w:r>
              <w:rPr>
                <w:rFonts w:ascii="Times New Roman" w:hAnsi="Times New Roman" w:eastAsia="仿宋_GB2312"/>
                <w:b/>
                <w:sz w:val="28"/>
              </w:rPr>
              <w:t>主要完成人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w:t>
            </w:r>
          </w:p>
        </w:tc>
        <w:tc>
          <w:tcPr>
            <w:tcW w:type="dxa" w:w="6236"/>
            <w:vAlign w:val="center"/>
          </w:tcPr>
          <w:p>
            <w:pPr>
              <w:spacing w:line="480" w:lineRule="exact"/>
            </w:pPr>
            <w:r/>
            <w:r>
              <w:rPr>
                <w:rFonts w:ascii="Times New Roman" w:hAnsi="Times New Roman" w:eastAsia="仿宋_GB2312"/>
                <w:b w:val="0"/>
                <w:sz w:val="28"/>
              </w:rPr>
              <w:t>薛辉</w:t>
            </w:r>
          </w:p>
        </w:tc>
      </w:tr>
      <w:tr>
        <w:tc>
          <w:tcPr>
            <w:tcW w:type="dxa" w:w="1984"/>
            <w:vAlign w:val="center"/>
          </w:tcPr>
          <w:p>
            <w:pPr>
              <w:spacing w:line="480" w:lineRule="exact"/>
            </w:pPr>
            <w:r/>
            <w:r>
              <w:rPr>
                <w:rFonts w:ascii="Times New Roman" w:hAnsi="Times New Roman" w:eastAsia="仿宋_GB2312"/>
                <w:b/>
                <w:sz w:val="28"/>
              </w:rPr>
              <w:t>联系人电话</w:t>
            </w:r>
          </w:p>
        </w:tc>
        <w:tc>
          <w:tcPr>
            <w:tcW w:type="dxa" w:w="6236"/>
            <w:vAlign w:val="center"/>
          </w:tcPr>
          <w:p>
            <w:pPr>
              <w:spacing w:line="480" w:lineRule="exact"/>
            </w:pPr>
            <w:r/>
            <w:r>
              <w:rPr>
                <w:rFonts w:ascii="Times New Roman" w:hAnsi="Times New Roman" w:eastAsia="仿宋_GB2312"/>
                <w:b w:val="0"/>
                <w:sz w:val="28"/>
              </w:rPr>
              <w:t xml:space="preserve">　　　　　　　　　　　</w:t>
            </w:r>
          </w:p>
        </w:tc>
      </w:tr>
    </w:tbl>
    <w:p/>
    <w:p>
      <w:pPr>
        <w:spacing w:line="560" w:lineRule="exact"/>
        <w:jc w:val="center"/>
      </w:pPr>
      <w:r>
        <w:rPr>
          <w:rFonts w:ascii="Times New Roman" w:hAnsi="Times New Roman" w:eastAsia="黑体"/>
          <w:b w:val="0"/>
          <w:sz w:val="44"/>
        </w:rPr>
        <w:t>AI赋能、产教融合——财税知识库协同育人实践</w:t>
      </w:r>
    </w:p>
    <w:p>
      <w:pPr>
        <w:spacing w:line="560" w:lineRule="exact"/>
        <w:ind w:firstLine="640"/>
      </w:pPr>
      <w:r>
        <w:rPr>
          <w:rFonts w:ascii="Times New Roman" w:hAnsi="Times New Roman" w:eastAsia="黑体"/>
          <w:b/>
          <w:sz w:val="32"/>
        </w:rPr>
        <w:t>摘要：</w:t>
      </w:r>
      <w:r>
        <w:rPr>
          <w:rFonts w:ascii="Times New Roman" w:hAnsi="Times New Roman" w:eastAsia="仿宋_GB2312"/>
          <w:b w:val="0"/>
          <w:sz w:val="32"/>
        </w:rPr>
        <w:t xml:space="preserve">围绕数智化背景下财经类职业教育教材滞后、实训缺少真实情境、企业合规问题无人承接的突出矛盾，石家庄邮电职业技术学院会计学院以教师暑期赴河北企富财税管理有限公司实践为切入点，依托ima共享知识库平台为企业归集财税法规文档651篇，构建“二级标签+层级+格式”三维分类体系并完成AI检索配置与两轮系统测试；同步把知识库完善任务转化为财务管理专业毕业设计课题，由学生对接企业按企业标准迭代交付，形成“教师下企业—带回真课题—学生做真题—成果回企业”的协同育人闭环。企业政策查询由人均15—30分钟缩短至秒级，输出6组合规分析、20题测试报告，成果反哺4门核心课程，为校企协同培养财经类技术技能人才提供了可复制样本。</w:t>
      </w:r>
    </w:p>
    <w:p>
      <w:pPr>
        <w:spacing w:line="560" w:lineRule="exact"/>
        <w:ind w:firstLine="640"/>
      </w:pPr>
      <w:r>
        <w:rPr>
          <w:rFonts w:ascii="Times New Roman" w:hAnsi="Times New Roman" w:eastAsia="黑体"/>
          <w:b/>
          <w:sz w:val="32"/>
        </w:rPr>
        <w:t>关键词：</w:t>
      </w:r>
      <w:r>
        <w:rPr>
          <w:rFonts w:ascii="Times New Roman" w:hAnsi="Times New Roman" w:eastAsia="仿宋_GB2312"/>
          <w:b w:val="0"/>
          <w:sz w:val="32"/>
        </w:rPr>
        <w:t>AI财税知识库；产教融合；协同育人；真题真做</w:t>
      </w:r>
    </w:p>
    <w:p>
      <w:pPr>
        <w:spacing w:line="560" w:lineRule="exact"/>
      </w:pPr>
      <w:r>
        <w:rPr>
          <w:rFonts w:ascii="Times New Roman" w:hAnsi="Times New Roman" w:eastAsia="黑体"/>
          <w:b w:val="0"/>
          <w:sz w:val="32"/>
        </w:rPr>
        <w:t>一、案例背景</w:t>
      </w:r>
    </w:p>
    <w:p>
      <w:pPr>
        <w:spacing w:line="560" w:lineRule="exact"/>
        <w:ind w:firstLine="640"/>
        <w:jc w:val="both"/>
      </w:pPr>
      <w:r>
        <w:rPr>
          <w:rFonts w:ascii="Times New Roman" w:hAnsi="Times New Roman" w:eastAsia="仿宋_GB2312"/>
          <w:b w:val="0"/>
          <w:sz w:val="32"/>
        </w:rPr>
        <w:t xml:space="preserve">石家庄邮电职业技术学院会计学院开设大数据与会计、大数据与财务管理等专业，面向区域财税服务业培养技术技能人才。近年政策密集迭代，教材更新滞后、实训多为虚构、教师实务更新慢，人才培养与企业一线形成时差；而合作企业河北企富财税管理有限公司承受的冲击更急、更硬。</w:t>
      </w:r>
    </w:p>
    <w:p>
      <w:pPr>
        <w:spacing w:line="560" w:lineRule="exact"/>
        <w:ind w:firstLine="640"/>
        <w:jc w:val="both"/>
      </w:pPr>
      <w:r>
        <w:rPr>
          <w:rFonts w:ascii="Times New Roman" w:hAnsi="Times New Roman" w:eastAsia="仿宋_GB2312"/>
          <w:b w:val="0"/>
          <w:sz w:val="32"/>
        </w:rPr>
        <w:t xml:space="preserve">2025年5月1日，《涉税专业服务管理办法（试行）》（国家税务总局令第58号）施行，把“答复快、准、可追溯”从加分项变成合规硬义务：机构须建质量管理制度、风控机制并留存底稿，答复须能追到政策原文。企富并非单纯代理记账机构：除代理记账、涉税服务、企业管家三条线，还设审计部承接审计核查，一套口径要同时支撑记账、涉税与审计取证。挤压有三：责任压到机构与签字人，老师傅的记忆与口头答复不再合规；业务面宽，客户横跨中小微企业、农村集体经济组织、医院与行政事业单位，事项涉及小规模纳税人免税、“六税两费”减免、医保、政府采购；容错空间小，仅石家庄市职工医保办法就有2017、2019、2024三版，省市层级交叉，误引废止条款即为执业风险。</w:t>
      </w:r>
    </w:p>
    <w:p>
      <w:pPr>
        <w:spacing w:line="560" w:lineRule="exact"/>
        <w:ind w:firstLine="640"/>
        <w:jc w:val="both"/>
      </w:pPr>
      <w:r>
        <w:rPr>
          <w:rFonts w:ascii="Times New Roman" w:hAnsi="Times New Roman" w:eastAsia="仿宋_GB2312"/>
          <w:b w:val="0"/>
          <w:sz w:val="32"/>
        </w:rPr>
        <w:t xml:space="preserve">压力落到作业面上，是“知道该做、没人做、也不会做”：文件散落在个人电脑与微信群，一次政策查找要15—30分钟且难保版本现行；机构人少事杂，请不起专职知识管理岗，也缺把AI检索落成统一口径的方法——这不是企富一家的难题，而是同类中小财税机构的共性。这正是职业教育可以介入的空间。2026年7月15日至8月25日，学院依托共同体选派教师驻企42天，与企富共建AI财税知识库，把企业难题变成教师课题、再变成毕设真题，打通“企业真问题—教师真参与—学生真实践—成果真交付”的链条。</w:t>
      </w:r>
    </w:p>
    <w:p>
      <w:pPr>
        <w:spacing w:line="560" w:lineRule="exact"/>
      </w:pPr>
      <w:r>
        <w:rPr>
          <w:rFonts w:ascii="Times New Roman" w:hAnsi="Times New Roman" w:eastAsia="黑体"/>
          <w:b w:val="0"/>
          <w:sz w:val="32"/>
        </w:rPr>
        <w:t>二、主要做法</w:t>
      </w:r>
    </w:p>
    <w:p>
      <w:pPr>
        <w:spacing w:line="560" w:lineRule="exact"/>
      </w:pPr>
      <w:r>
        <w:rPr>
          <w:rFonts w:ascii="Times New Roman" w:hAnsi="Times New Roman" w:eastAsia="楷体_GB2312"/>
          <w:b w:val="0"/>
          <w:sz w:val="32"/>
        </w:rPr>
        <w:t>（一）深入企业调研，从零搭建AI财税知识库</w:t>
      </w:r>
    </w:p>
    <w:p>
      <w:pPr>
        <w:spacing w:line="560" w:lineRule="exact"/>
        <w:ind w:firstLine="640"/>
        <w:jc w:val="both"/>
      </w:pPr>
      <w:r>
        <w:rPr>
          <w:rFonts w:ascii="Times New Roman" w:hAnsi="Times New Roman" w:eastAsia="仿宋_GB2312"/>
          <w:b w:val="0"/>
          <w:sz w:val="32"/>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jc w:val="center"/>
      </w:pPr>
      <w:r>
        <w:drawing>
          <wp:inline xmlns:a="http://schemas.openxmlformats.org/drawingml/2006/main" xmlns:pic="http://schemas.openxmlformats.org/drawingml/2006/picture">
            <wp:extent cx="3960000" cy="2968839"/>
            <wp:docPr id="1" name="Picture 1"/>
            <wp:cNvGraphicFramePr>
              <a:graphicFrameLocks noChangeAspect="1"/>
            </wp:cNvGraphicFramePr>
            <a:graphic>
              <a:graphicData uri="http://schemas.openxmlformats.org/drawingml/2006/picture">
                <pic:pic>
                  <pic:nvPicPr>
                    <pic:cNvPr id="0" name="图1-实地调研座谈.jpg"/>
                    <pic:cNvPicPr/>
                  </pic:nvPicPr>
                  <pic:blipFill>
                    <a:blip r:embed="rId9"/>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图1  教师赴河北企富财税管理有限公司与企业团队座谈调研（2026年7月）</w:t>
      </w:r>
    </w:p>
    <w:p>
      <w:pPr>
        <w:jc w:val="center"/>
      </w:pPr>
      <w:r>
        <w:drawing>
          <wp:inline xmlns:a="http://schemas.openxmlformats.org/drawingml/2006/main" xmlns:pic="http://schemas.openxmlformats.org/drawingml/2006/picture">
            <wp:extent cx="3960000" cy="2968839"/>
            <wp:docPr id="2" name="Picture 2"/>
            <wp:cNvGraphicFramePr>
              <a:graphicFrameLocks noChangeAspect="1"/>
            </wp:cNvGraphicFramePr>
            <a:graphic>
              <a:graphicData uri="http://schemas.openxmlformats.org/drawingml/2006/picture">
                <pic:pic>
                  <pic:nvPicPr>
                    <pic:cNvPr id="0" name="图2-实地调研座谈2.jpg"/>
                    <pic:cNvPicPr/>
                  </pic:nvPicPr>
                  <pic:blipFill>
                    <a:blip r:embed="rId10"/>
                    <a:stretch>
                      <a:fillRect/>
                    </a:stretch>
                  </pic:blipFill>
                  <pic:spPr>
                    <a:xfrm>
                      <a:off x="0" y="0"/>
                      <a:ext cx="3960000" cy="2968839"/>
                    </a:xfrm>
                    <a:prstGeom prst="rect"/>
                  </pic:spPr>
                </pic:pic>
              </a:graphicData>
            </a:graphic>
          </wp:inline>
        </w:drawing>
      </w:r>
    </w:p>
    <w:p>
      <w:pPr>
        <w:jc w:val="center"/>
      </w:pPr>
      <w:r>
        <w:rPr>
          <w:rFonts w:ascii="Times New Roman" w:hAnsi="Times New Roman" w:eastAsia="仿宋_GB2312"/>
          <w:b w:val="0"/>
          <w:sz w:val="24"/>
        </w:rPr>
        <w:t>图2  座谈调研现场：企业部门骨干介绍业务流程与政策使用场景</w:t>
      </w:r>
    </w:p>
    <w:p>
      <w:pPr>
        <w:spacing w:line="560" w:lineRule="exact"/>
        <w:ind w:firstLine="640"/>
        <w:jc w:val="both"/>
      </w:pPr>
      <w:r>
        <w:rPr>
          <w:rFonts w:ascii="Times New Roman" w:hAnsi="Times New Roman" w:eastAsia="仿宋_GB2312"/>
          <w:b w:val="0"/>
          <w:sz w:val="32"/>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jc w:val="center"/>
      </w:pPr>
      <w:r>
        <w:drawing>
          <wp:inline xmlns:a="http://schemas.openxmlformats.org/drawingml/2006/main" xmlns:pic="http://schemas.openxmlformats.org/drawingml/2006/picture">
            <wp:extent cx="4680000" cy="2924428"/>
            <wp:docPr id="3" name="Picture 3"/>
            <wp:cNvGraphicFramePr>
              <a:graphicFrameLocks noChangeAspect="1"/>
            </wp:cNvGraphicFramePr>
            <a:graphic>
              <a:graphicData uri="http://schemas.openxmlformats.org/drawingml/2006/picture">
                <pic:pic>
                  <pic:nvPicPr>
                    <pic:cNvPr id="0" name="图3-知识库AI检索界面.png"/>
                    <pic:cNvPicPr/>
                  </pic:nvPicPr>
                  <pic:blipFill>
                    <a:blip r:embed="rId11"/>
                    <a:stretch>
                      <a:fillRect/>
                    </a:stretch>
                  </pic:blipFill>
                  <pic:spPr>
                    <a:xfrm>
                      <a:off x="0" y="0"/>
                      <a:ext cx="4680000" cy="2924428"/>
                    </a:xfrm>
                    <a:prstGeom prst="rect"/>
                  </pic:spPr>
                </pic:pic>
              </a:graphicData>
            </a:graphic>
          </wp:inline>
        </w:drawing>
      </w:r>
    </w:p>
    <w:p>
      <w:pPr>
        <w:jc w:val="center"/>
      </w:pPr>
      <w:r>
        <w:rPr>
          <w:rFonts w:ascii="Times New Roman" w:hAnsi="Times New Roman" w:eastAsia="仿宋_GB2312"/>
          <w:b w:val="0"/>
          <w:sz w:val="24"/>
        </w:rPr>
        <w:t>图3  “0730资料库”AI检索界面实测：库外问题（天津市医保报销比例）准确识别、不作编造</w:t>
      </w:r>
    </w:p>
    <w:p>
      <w:pPr>
        <w:spacing w:line="560" w:lineRule="exact"/>
        <w:ind w:firstLine="640"/>
        <w:jc w:val="both"/>
      </w:pPr>
      <w:r>
        <w:rPr>
          <w:rFonts w:ascii="Times New Roman" w:hAnsi="Times New Roman" w:eastAsia="仿宋_GB2312"/>
          <w:b w:val="0"/>
          <w:sz w:val="32"/>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exact"/>
      </w:pPr>
      <w:r>
        <w:rPr>
          <w:rFonts w:ascii="Times New Roman" w:hAnsi="Times New Roman" w:eastAsia="楷体_GB2312"/>
          <w:b w:val="0"/>
          <w:sz w:val="32"/>
        </w:rPr>
        <w:t>（二）输出合规成果，系统测试摸清AI能力边界</w:t>
      </w:r>
    </w:p>
    <w:p>
      <w:pPr>
        <w:spacing w:line="560" w:lineRule="exact"/>
        <w:ind w:firstLine="640"/>
        <w:jc w:val="both"/>
      </w:pPr>
      <w:r>
        <w:rPr>
          <w:rFonts w:ascii="Times New Roman" w:hAnsi="Times New Roman" w:eastAsia="仿宋_GB2312"/>
          <w:b w:val="0"/>
          <w:sz w:val="32"/>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exact"/>
        <w:ind w:firstLine="640"/>
        <w:jc w:val="both"/>
      </w:pPr>
      <w:r>
        <w:rPr>
          <w:rFonts w:ascii="Times New Roman" w:hAnsi="Times New Roman" w:eastAsia="仿宋_GB2312"/>
          <w:b w:val="0"/>
          <w:sz w:val="32"/>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jc w:val="center"/>
      </w:pPr>
      <w:r>
        <w:drawing>
          <wp:inline xmlns:a="http://schemas.openxmlformats.org/drawingml/2006/main" xmlns:pic="http://schemas.openxmlformats.org/drawingml/2006/picture">
            <wp:extent cx="4320000" cy="3163034"/>
            <wp:docPr id="4" name="Picture 4"/>
            <wp:cNvGraphicFramePr>
              <a:graphicFrameLocks noChangeAspect="1"/>
            </wp:cNvGraphicFramePr>
            <a:graphic>
              <a:graphicData uri="http://schemas.openxmlformats.org/drawingml/2006/picture">
                <pic:pic>
                  <pic:nvPicPr>
                    <pic:cNvPr id="0" name="图4-知识库精准回答.png"/>
                    <pic:cNvPicPr/>
                  </pic:nvPicPr>
                  <pic:blipFill>
                    <a:blip r:embed="rId12"/>
                    <a:stretch>
                      <a:fillRect/>
                    </a:stretch>
                  </pic:blipFill>
                  <pic:spPr>
                    <a:xfrm>
                      <a:off x="0" y="0"/>
                      <a:ext cx="4320000" cy="3163034"/>
                    </a:xfrm>
                    <a:prstGeom prst="rect"/>
                  </pic:spPr>
                </pic:pic>
              </a:graphicData>
            </a:graphic>
          </wp:inline>
        </w:drawing>
      </w:r>
    </w:p>
    <w:p>
      <w:pPr>
        <w:jc w:val="center"/>
      </w:pPr>
      <w:r>
        <w:rPr>
          <w:rFonts w:ascii="Times New Roman" w:hAnsi="Times New Roman" w:eastAsia="仿宋_GB2312"/>
          <w:b w:val="0"/>
          <w:sz w:val="24"/>
        </w:rPr>
        <w:t>图4  知识库单点细节检索测试：精准引用《党政机关国内公务接待管理规定》给出结构化答复</w:t>
      </w:r>
    </w:p>
    <w:p>
      <w:pPr>
        <w:spacing w:line="560" w:lineRule="exact"/>
      </w:pPr>
      <w:r>
        <w:rPr>
          <w:rFonts w:ascii="Times New Roman" w:hAnsi="Times New Roman" w:eastAsia="楷体_GB2312"/>
          <w:b w:val="0"/>
          <w:sz w:val="32"/>
        </w:rPr>
        <w:t>（三）以毕设真题打通产教闭环，学生对接企业完善知识库</w:t>
      </w:r>
    </w:p>
    <w:p>
      <w:pPr>
        <w:spacing w:line="560" w:lineRule="exact"/>
        <w:ind w:firstLine="640"/>
        <w:jc w:val="both"/>
      </w:pPr>
      <w:r>
        <w:rPr>
          <w:rFonts w:ascii="Times New Roman" w:hAnsi="Times New Roman" w:eastAsia="仿宋_GB2312"/>
          <w:b w:val="0"/>
          <w:sz w:val="32"/>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exact"/>
        <w:ind w:firstLine="640"/>
        <w:jc w:val="both"/>
      </w:pPr>
      <w:r>
        <w:rPr>
          <w:rFonts w:ascii="Times New Roman" w:hAnsi="Times New Roman" w:eastAsia="仿宋_GB2312"/>
          <w:b w:val="0"/>
          <w:sz w:val="32"/>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jc w:val="center"/>
      </w:pPr>
      <w:r>
        <w:drawing>
          <wp:inline xmlns:a="http://schemas.openxmlformats.org/drawingml/2006/main" xmlns:pic="http://schemas.openxmlformats.org/drawingml/2006/picture">
            <wp:extent cx="4320000" cy="2520000"/>
            <wp:docPr id="5" name="Picture 5"/>
            <wp:cNvGraphicFramePr>
              <a:graphicFrameLocks noChangeAspect="1"/>
            </wp:cNvGraphicFramePr>
            <a:graphic>
              <a:graphicData uri="http://schemas.openxmlformats.org/drawingml/2006/picture">
                <pic:pic>
                  <pic:nvPicPr>
                    <pic:cNvPr id="0" name="图5-毕业设计指导占位.jpg"/>
                    <pic:cNvPicPr/>
                  </pic:nvPicPr>
                  <pic:blipFill>
                    <a:blip r:embed="rId13"/>
                    <a:stretch>
                      <a:fillRect/>
                    </a:stretch>
                  </pic:blipFill>
                  <pic:spPr>
                    <a:xfrm>
                      <a:off x="0" y="0"/>
                      <a:ext cx="4320000" cy="2520000"/>
                    </a:xfrm>
                    <a:prstGeom prst="rect"/>
                  </pic:spPr>
                </pic:pic>
              </a:graphicData>
            </a:graphic>
          </wp:inline>
        </w:drawing>
      </w:r>
    </w:p>
    <w:p>
      <w:pPr>
        <w:jc w:val="center"/>
      </w:pPr>
      <w:r>
        <w:rPr>
          <w:rFonts w:ascii="Times New Roman" w:hAnsi="Times New Roman" w:eastAsia="仿宋_GB2312"/>
          <w:b w:val="0"/>
          <w:sz w:val="24"/>
        </w:rPr>
        <w:t>图5  教师指导毕设小组对接企业需求、开展财税法规知识库标签体系构建（2026年10月）</w:t>
      </w:r>
    </w:p>
    <w:p>
      <w:pPr>
        <w:spacing w:line="560" w:lineRule="exact"/>
        <w:ind w:firstLine="640"/>
        <w:jc w:val="both"/>
      </w:pPr>
      <w:r>
        <w:rPr>
          <w:rFonts w:ascii="Times New Roman" w:hAnsi="Times New Roman" w:eastAsia="仿宋_GB2312"/>
          <w:b w:val="0"/>
          <w:sz w:val="32"/>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Pr>
        <w:spacing w:line="560" w:lineRule="exact"/>
      </w:pPr>
      <w:r>
        <w:rPr>
          <w:rFonts w:ascii="Times New Roman" w:hAnsi="Times New Roman" w:eastAsia="黑体"/>
          <w:b w:val="0"/>
          <w:sz w:val="32"/>
        </w:rPr>
        <w:t>三、实施成效</w:t>
      </w:r>
    </w:p>
    <w:p>
      <w:pPr>
        <w:spacing w:line="560" w:lineRule="exact"/>
        <w:ind w:firstLine="640"/>
        <w:jc w:val="both"/>
      </w:pPr>
      <w:r>
        <w:rPr>
          <w:rFonts w:ascii="Times New Roman" w:hAnsi="Times New Roman" w:eastAsia="仿宋_GB2312"/>
          <w:b w:val="0"/>
          <w:sz w:val="32"/>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exact"/>
        <w:ind w:firstLine="640"/>
        <w:jc w:val="both"/>
      </w:pPr>
      <w:r>
        <w:rPr>
          <w:rFonts w:ascii="Times New Roman" w:hAnsi="Times New Roman" w:eastAsia="仿宋_GB2312"/>
          <w:b w:val="0"/>
          <w:sz w:val="32"/>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exact"/>
        <w:ind w:firstLine="640"/>
        <w:jc w:val="both"/>
      </w:pPr>
      <w:r>
        <w:rPr>
          <w:rFonts w:ascii="Times New Roman" w:hAnsi="Times New Roman" w:eastAsia="仿宋_GB2312"/>
          <w:b w:val="0"/>
          <w:sz w:val="32"/>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Pr>
        <w:spacing w:line="560" w:lineRule="exact"/>
      </w:pPr>
      <w:r>
        <w:rPr>
          <w:rFonts w:ascii="Times New Roman" w:hAnsi="Times New Roman" w:eastAsia="黑体"/>
          <w:b w:val="0"/>
          <w:sz w:val="32"/>
        </w:rPr>
        <w:t xml:space="preserve">四、经验启示</w:t>
      </w:r>
    </w:p>
    <w:p>
      <w:pPr>
        <w:spacing w:line="560" w:lineRule="exact"/>
        <w:ind w:firstLine="640"/>
        <w:jc w:val="both"/>
      </w:pPr>
      <w:r>
        <w:rPr>
          <w:rFonts w:ascii="Times New Roman" w:hAnsi="Times New Roman" w:eastAsia="仿宋_GB2312"/>
          <w:b w:val="0"/>
          <w:sz w:val="32"/>
        </w:rPr>
        <w:t xml:space="preserve">一是切口要小，小切口背后要是真问题。校企合作容易停在签协议、挂牌子，本项目从企业一份具体合规清单倒推，教师上得了手、企业验得了收，合作才有落点。</w:t>
      </w:r>
    </w:p>
    <w:p>
      <w:pPr>
        <w:spacing w:line="560" w:lineRule="exact"/>
        <w:ind w:firstLine="640"/>
        <w:jc w:val="both"/>
      </w:pPr>
      <w:r>
        <w:rPr>
          <w:rFonts w:ascii="Times New Roman" w:hAnsi="Times New Roman" w:eastAsia="仿宋_GB2312"/>
          <w:b w:val="0"/>
          <w:sz w:val="32"/>
        </w:rPr>
        <w:t xml:space="preserve">二是教师的“真参与”是闭环的起点，不是终点。42天实践带回的不是一份调研报告，而是可拆成任务清单的交付物：12个一级领域、80余个二级标签的标注规范，“业务领域+层级+文档形态”三要素检索口径，20题测试题库。</w:t>
      </w:r>
    </w:p>
    <w:p>
      <w:pPr>
        <w:spacing w:line="560" w:lineRule="exact"/>
        <w:ind w:firstLine="640"/>
        <w:jc w:val="both"/>
      </w:pPr>
      <w:r>
        <w:rPr>
          <w:rFonts w:ascii="Times New Roman" w:hAnsi="Times New Roman" w:eastAsia="仿宋_GB2312"/>
          <w:b w:val="0"/>
          <w:sz w:val="32"/>
        </w:rPr>
        <w:t xml:space="preserve">三是企业任务转成毕设真题，闭环才有人力接续。3名学生承接打标与索引重建，按企业标准迭代、由企业验收，学生在真标准下练出标签判断力与AI工具使用能力，比虚构实训更贴近岗位。</w:t>
      </w:r>
    </w:p>
    <w:p>
      <w:pPr>
        <w:spacing w:line="560" w:lineRule="exact"/>
        <w:ind w:firstLine="640"/>
        <w:jc w:val="both"/>
      </w:pPr>
      <w:r>
        <w:rPr>
          <w:rFonts w:ascii="Times New Roman" w:hAnsi="Times New Roman" w:eastAsia="仿宋_GB2312"/>
          <w:b w:val="0"/>
          <w:sz w:val="32"/>
        </w:rPr>
        <w:t xml:space="preserve">四是摸清AI的能力边界，同样是教学成果。两轮20题测试把“召回截断、无分页、必须手工打标”的硬限制摆上台面，避免把AI当万能；这些限制反过来成为二期任务与课堂讨论素材。</w:t>
      </w:r>
    </w:p>
    <w:p>
      <w:pPr>
        <w:spacing w:line="560" w:lineRule="exact"/>
      </w:pPr>
      <w:r>
        <w:rPr>
          <w:rFonts w:ascii="Times New Roman" w:hAnsi="Times New Roman" w:eastAsia="黑体"/>
          <w:b w:val="0"/>
          <w:sz w:val="32"/>
        </w:rPr>
        <w:t xml:space="preserve">五、问题与展望</w:t>
      </w:r>
    </w:p>
    <w:p>
      <w:pPr>
        <w:spacing w:line="560" w:lineRule="exact"/>
        <w:ind w:firstLine="640"/>
        <w:jc w:val="both"/>
      </w:pPr>
      <w:r>
        <w:rPr>
          <w:rFonts w:ascii="Times New Roman" w:hAnsi="Times New Roman" w:eastAsia="仿宋_GB2312"/>
          <w:b w:val="0"/>
          <w:sz w:val="32"/>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jc w:val="right"/>
      </w:pPr>
      <w:r>
        <w:rPr>
          <w:rFonts w:ascii="Times New Roman" w:hAnsi="Times New Roman" w:eastAsia="仿宋_GB2312"/>
          <w:b w:val="0"/>
          <w:sz w:val="32"/>
        </w:rPr>
        <w:t>河北省财经行业产教融合共同体</w:t>
      </w:r>
    </w:p>
    <w:p>
      <w:pPr>
        <w:jc w:val="right"/>
      </w:pPr>
      <w:r>
        <w:rPr>
          <w:rFonts w:ascii="Times New Roman" w:hAnsi="Times New Roman" w:eastAsia="仿宋_GB2312"/>
          <w:b w:val="0"/>
          <w:sz w:val="32"/>
        </w:rPr>
        <w:t>2026年10月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