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河北企富财税管理有限公司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及相关单位已出具书面评价证明两份，分别从知识库应用效果和知识管理诊断评价两个角度对案例技术路线的应用情况进行了评价（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