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平台以“辨、演、训、评、导”五环连接学生独立判断、规则与AI辅助、应用改进和教师复核，并通过任务再投放形成持续改进闭环，如图1所示。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w:t>
      </w:r>
      <w:r>
        <w:rPr>
          <w:rFonts w:hint="eastAsia"/>
          <w:b w:val="0"/>
          <w:sz w:val="21"/>
          <w:lang w:val="en-US" w:eastAsia="zh-CN"/>
        </w:rPr>
        <w:t>并</w:t>
      </w:r>
      <w:r>
        <w:rPr>
          <w:rFonts w:ascii="宋体" w:hAnsi="宋体" w:eastAsia="宋体"/>
          <w:b w:val="0"/>
          <w:sz w:val="21"/>
        </w:rPr>
        <w:t>按照“真实问题识别—平台研发—课程任务整合—数据闭环优化”推进</w:t>
      </w:r>
      <w:r>
        <w:rPr>
          <w:rFonts w:hint="eastAsia"/>
          <w:b w:val="0"/>
          <w:sz w:val="21"/>
          <w:lang w:eastAsia="zh-CN"/>
        </w:rPr>
        <w:t>，</w:t>
      </w:r>
      <w:r>
        <w:rPr>
          <w:rFonts w:ascii="宋体" w:hAnsi="宋体" w:eastAsia="宋体"/>
          <w:b w:val="0"/>
          <w:sz w:val="21"/>
        </w:rPr>
        <w:t>学生从日常收支中发现并记录经济事项</w:t>
      </w:r>
      <w:r>
        <w:rPr>
          <w:rFonts w:hint="eastAsia"/>
          <w:b w:val="0"/>
          <w:sz w:val="21"/>
          <w:lang w:val="en-US" w:eastAsia="zh-CN"/>
        </w:rPr>
        <w:t>并提交67份作业</w:t>
      </w:r>
      <w:r>
        <w:rPr>
          <w:rFonts w:ascii="宋体" w:hAnsi="宋体" w:eastAsia="宋体"/>
          <w:b w:val="0"/>
          <w:sz w:val="21"/>
        </w:rPr>
        <w:t>（见图2）。实践既验证了生活事项可以成为会计学习入口，也暴露出原有方式</w:t>
      </w:r>
      <w:r>
        <w:rPr>
          <w:rFonts w:hint="eastAsia"/>
          <w:b w:val="0"/>
          <w:sz w:val="21"/>
          <w:lang w:val="en-US" w:eastAsia="zh-CN"/>
        </w:rPr>
        <w:t>只能</w:t>
      </w:r>
      <w:r>
        <w:rPr>
          <w:rFonts w:ascii="宋体" w:hAnsi="宋体" w:eastAsia="宋体"/>
          <w:b w:val="0"/>
          <w:sz w:val="21"/>
        </w:rPr>
        <w:t>提交结果，难以连续呈现学生辨析主体、推演关系、接受反馈和修正判断的过程。</w:t>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平台首页设置“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为降低复杂平台的学习门槛，系统设置整体说明和聚光灯分步引导，依次说明当前位置、操作对象、任务目的与下一环节（见图</w:t>
      </w:r>
      <w:r>
        <w:rPr>
          <w:rFonts w:hint="eastAsia"/>
          <w:b w:val="0"/>
          <w:sz w:val="21"/>
          <w:lang w:val="en-US" w:eastAsia="zh-CN"/>
        </w:rPr>
        <w:t>7</w:t>
      </w:r>
      <w:r>
        <w:rPr>
          <w:rFonts w:ascii="宋体" w:hAnsi="宋体" w:eastAsia="宋体"/>
          <w:b w:val="0"/>
          <w:sz w:val="21"/>
        </w:rPr>
        <w:t>）。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平台使用Next.js、React、Prisma和SQLite，生活事项、数字支付及门户服务共享本地数据库与角色账号。DeepSeek兼容接口用于自然语言辅助，离线Mock模式保障断网流程；确定性知识、关系方向和计算结果由规则校验。手势识别在浏览器本地提取21个手部关键点。平台已完成Windows本地构建、三服务健康检查、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平台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平台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实践评价证明（见附件），评价主体为河北企富财税管理有限公司。</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