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555E2">
      <w:pPr>
        <w:widowControl/>
        <w:spacing w:before="0" w:after="0" w:line="360" w:lineRule="auto"/>
        <w:jc w:val="center"/>
      </w:pPr>
      <w:r>
        <w:rPr>
          <w:rFonts w:ascii="宋体" w:hAnsi="宋体" w:eastAsia="宋体"/>
          <w:b/>
          <w:sz w:val="32"/>
        </w:rPr>
        <w:t>人工智能赋能高职会计学习全程支持与教学决策应用场景</w:t>
      </w:r>
    </w:p>
    <w:p w14:paraId="2CD5CD25">
      <w:pPr>
        <w:widowControl/>
        <w:spacing w:before="0" w:after="0" w:line="360" w:lineRule="auto"/>
        <w:jc w:val="center"/>
      </w:pPr>
      <w:r>
        <w:rPr>
          <w:rFonts w:ascii="宋体" w:hAnsi="宋体" w:eastAsia="宋体"/>
          <w:b/>
          <w:sz w:val="32"/>
        </w:rPr>
        <w:t>——“辨·演·训·评·导”五环贯通</w:t>
      </w:r>
    </w:p>
    <w:p w14:paraId="5DE5781D">
      <w:pPr>
        <w:keepNext/>
        <w:widowControl/>
        <w:spacing w:before="160" w:after="0" w:line="360" w:lineRule="auto"/>
      </w:pPr>
      <w:r>
        <w:rPr>
          <w:rFonts w:ascii="宋体" w:hAnsi="宋体" w:eastAsia="宋体"/>
          <w:b/>
          <w:sz w:val="28"/>
        </w:rPr>
        <w:t>一、案例背景需求</w:t>
      </w:r>
    </w:p>
    <w:p w14:paraId="23A411E1">
      <w:pPr>
        <w:widowControl/>
        <w:spacing w:before="0" w:after="0" w:line="360" w:lineRule="auto"/>
        <w:ind w:firstLine="420"/>
        <w:jc w:val="both"/>
      </w:pPr>
      <w:r>
        <w:rPr>
          <w:rFonts w:hint="eastAsia"/>
        </w:rPr>
        <w:t>高职财经商贸类专业</w:t>
      </w:r>
      <w:r>
        <w:rPr>
          <w:rFonts w:hint="eastAsia"/>
          <w:lang w:eastAsia="zh-CN"/>
        </w:rPr>
        <w:t>，</w:t>
      </w:r>
      <w:r>
        <w:rPr>
          <w:rFonts w:hint="eastAsia"/>
          <w:lang w:val="en-US" w:eastAsia="zh-CN"/>
        </w:rPr>
        <w:t>尤其是</w:t>
      </w:r>
      <w:r>
        <w:rPr>
          <w:rFonts w:ascii="宋体" w:hAnsi="宋体" w:eastAsia="宋体"/>
          <w:b w:val="0"/>
          <w:sz w:val="21"/>
        </w:rPr>
        <w:t>高职会计学习同时面临专业认知抽象、数字业务关系复杂和生成式人工智能使用失范三类问题。部分学生难以把“买东西、收到转账”等生活语言转化为会计主体、资源、权利和义务，容易将资金收付直接等同收入费用；面对花呗、退款、平台结算等数字支付，又常混淆商品取得、资金支付和义务清偿的时间节点。传统作业与测验多保留最终答案，教师难以追踪判断、反馈和改进过程。生成式人工智能若直接给出答案，还可能造成思维替代、模型幻觉和数据泄露。石家庄邮电职业技术学院据此建设高职会计智能学习与教学决策平台，旨在以“辨、演、训、评、导”五环贯通独立判断、专业实践、过程评价与教师干预。</w:t>
      </w:r>
    </w:p>
    <w:p w14:paraId="09CD9C0C">
      <w:pPr>
        <w:keepNext/>
        <w:widowControl/>
        <w:spacing w:before="160" w:after="0" w:line="360" w:lineRule="auto"/>
      </w:pPr>
      <w:r>
        <w:rPr>
          <w:rFonts w:ascii="宋体" w:hAnsi="宋体" w:eastAsia="宋体"/>
          <w:b/>
          <w:sz w:val="28"/>
        </w:rPr>
        <w:t>二、案例实施情况</w:t>
      </w:r>
    </w:p>
    <w:p w14:paraId="7B07684F">
      <w:pPr>
        <w:widowControl/>
        <w:spacing w:before="0" w:after="0" w:line="360" w:lineRule="auto"/>
        <w:ind w:firstLine="420"/>
        <w:jc w:val="both"/>
      </w:pPr>
      <w:r>
        <w:rPr>
          <w:rFonts w:ascii="宋体" w:hAnsi="宋体" w:eastAsia="宋体"/>
          <w:b w:val="0"/>
          <w:sz w:val="21"/>
        </w:rPr>
        <w:t>案例以“辨、演、训、评、导”五环连接学生独立判断、规则与AI辅助、应用改进和教师复核，并通过任务再投放形成持续改进闭环，如图1所示。</w:t>
      </w:r>
    </w:p>
    <w:p w14:paraId="681F20F8">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6" name="图片 6" descr="img_video_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ideo_ending"/>
                    <pic:cNvPicPr>
                      <a:picLocks noChangeAspect="1"/>
                    </pic:cNvPicPr>
                  </pic:nvPicPr>
                  <pic:blipFill>
                    <a:blip r:embed="rId7"/>
                    <a:stretch>
                      <a:fillRect/>
                    </a:stretch>
                  </pic:blipFill>
                  <pic:spPr>
                    <a:xfrm>
                      <a:off x="0" y="0"/>
                      <a:ext cx="5819140" cy="3274695"/>
                    </a:xfrm>
                    <a:prstGeom prst="rect">
                      <a:avLst/>
                    </a:prstGeom>
                  </pic:spPr>
                </pic:pic>
              </a:graphicData>
            </a:graphic>
          </wp:inline>
        </w:drawing>
      </w:r>
    </w:p>
    <w:p w14:paraId="632AF237">
      <w:pPr>
        <w:keepNext/>
        <w:widowControl/>
        <w:spacing w:after="80"/>
        <w:jc w:val="center"/>
      </w:pPr>
      <w:r>
        <w:rPr>
          <w:rFonts w:ascii="宋体" w:hAnsi="宋体" w:eastAsia="宋体"/>
          <w:b w:val="0"/>
          <w:sz w:val="21"/>
        </w:rPr>
        <w:t>图1  案例“辨·演·训·评·导”五环学习支持与教学决策闭环</w:t>
      </w:r>
    </w:p>
    <w:p w14:paraId="34B67B37">
      <w:pPr>
        <w:widowControl/>
        <w:spacing w:before="0" w:after="0" w:line="360" w:lineRule="auto"/>
        <w:ind w:firstLine="420"/>
        <w:jc w:val="both"/>
      </w:pPr>
      <w:r>
        <w:rPr>
          <w:rFonts w:ascii="宋体" w:hAnsi="宋体" w:eastAsia="宋体"/>
          <w:b w:val="0"/>
          <w:sz w:val="21"/>
        </w:rPr>
        <w:t>案例源于教师通过企业微信布置的一项真实生活记账作业，并按照“真实问题识别—技术研发—课程任务整合—数据闭环优化”推进，学生从日常收支中发现并记录经济事项并提交67份作业（见图2）。实践既验证了生活事项可以成为会计学习入口，也暴露出原有方式只能提交结果，难以连续呈现学生辨析主体、推演关系、接受反馈和修正判断的过程。</w:t>
      </w:r>
      <w:r>
        <w:rPr>
          <w:rFonts w:hint="eastAsia"/>
          <w:b w:val="0"/>
          <w:sz w:val="21"/>
          <w:lang w:val="en-US" w:eastAsia="zh-CN"/>
        </w:rPr>
      </w:r>
      <w:r>
        <w:rPr>
          <w:rFonts w:ascii="宋体" w:hAnsi="宋体" w:eastAsia="宋体"/>
          <w:b w:val="0"/>
          <w:sz w:val="21"/>
        </w:rPr>
      </w:r>
      <w:r>
        <w:rPr>
          <w:rFonts w:hint="eastAsia"/>
          <w:b w:val="0"/>
          <w:sz w:val="21"/>
          <w:lang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r>
        <w:rPr>
          <w:rFonts w:hint="eastAsia"/>
          <w:b w:val="0"/>
          <w:sz w:val="21"/>
          <w:lang w:val="en-US" w:eastAsia="zh-CN"/>
        </w:rPr>
      </w:r>
      <w:r>
        <w:rPr>
          <w:rFonts w:ascii="宋体" w:hAnsi="宋体" w:eastAsia="宋体"/>
          <w:b w:val="0"/>
          <w:sz w:val="21"/>
        </w:rPr>
      </w:r>
    </w:p>
    <w:p w14:paraId="51A46E66">
      <w:pPr>
        <w:keepNext/>
        <w:widowControl/>
        <w:spacing w:after="80"/>
        <w:jc w:val="center"/>
        <w:rPr>
          <w:rFonts w:hint="eastAsia" w:eastAsia="宋体"/>
          <w:lang w:eastAsia="zh-CN"/>
        </w:rPr>
      </w:pPr>
      <w:r>
        <w:rPr>
          <w:rFonts w:hint="eastAsia" w:eastAsia="宋体"/>
          <w:lang w:eastAsia="zh-CN"/>
        </w:rPr>
        <w:drawing>
          <wp:inline distT="0" distB="0" distL="114300" distR="114300">
            <wp:extent cx="4643755" cy="2640965"/>
            <wp:effectExtent l="0" t="0" r="0" b="0"/>
            <wp:docPr id="24"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descr="图片2"/>
                    <pic:cNvPicPr>
                      <a:picLocks noChangeAspect="1"/>
                    </pic:cNvPicPr>
                  </pic:nvPicPr>
                  <pic:blipFill>
                    <a:blip r:embed="rId8"/>
                    <a:srcRect t="1178" b="848"/>
                    <a:stretch>
                      <a:fillRect/>
                    </a:stretch>
                  </pic:blipFill>
                  <pic:spPr>
                    <a:xfrm>
                      <a:off x="0" y="0"/>
                      <a:ext cx="4643755" cy="2640965"/>
                    </a:xfrm>
                    <a:prstGeom prst="rect">
                      <a:avLst/>
                    </a:prstGeom>
                    <a:noFill/>
                    <a:ln>
                      <a:noFill/>
                    </a:ln>
                  </pic:spPr>
                </pic:pic>
              </a:graphicData>
            </a:graphic>
          </wp:inline>
        </w:drawing>
      </w:r>
    </w:p>
    <w:p w14:paraId="20088FEB">
      <w:pPr>
        <w:keepNext/>
        <w:widowControl/>
        <w:spacing w:after="80"/>
        <w:jc w:val="center"/>
      </w:pPr>
      <w:r>
        <w:rPr>
          <w:rFonts w:ascii="宋体" w:hAnsi="宋体" w:eastAsia="宋体"/>
          <w:b w:val="0"/>
          <w:sz w:val="21"/>
        </w:rPr>
        <w:t>图2  企业微信真实生活记账作业任务</w:t>
      </w:r>
    </w:p>
    <w:p w14:paraId="591A4391">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通过统一门户组织学生端与教师端，以五环任务中心连接学习活动和教学决策，如图3、图4所示。“辨”包含AI使用准备和生活经济事项智能辨析；“演”呈现数字支付主体、关系箭头和时间节点；“训”开展预算、成本、本量利和投资决策项目；“评”形成按题型与知识标签组织的诊断结果；“导”汇总五环证据并支持教师复核。</w:t>
      </w:r>
    </w:p>
    <w:p w14:paraId="55818CF0">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4863465" cy="2988310"/>
            <wp:effectExtent l="0" t="0" r="3810" b="12065"/>
            <wp:docPr id="32"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图片3"/>
                    <pic:cNvPicPr>
                      <a:picLocks noChangeAspect="1"/>
                    </pic:cNvPicPr>
                  </pic:nvPicPr>
                  <pic:blipFill>
                    <a:blip r:embed="rId9"/>
                    <a:srcRect t="1453" b="162"/>
                    <a:stretch>
                      <a:fillRect/>
                    </a:stretch>
                  </pic:blipFill>
                  <pic:spPr>
                    <a:xfrm>
                      <a:off x="0" y="0"/>
                      <a:ext cx="4863465" cy="2988310"/>
                    </a:xfrm>
                    <a:prstGeom prst="rect">
                      <a:avLst/>
                    </a:prstGeom>
                    <a:noFill/>
                    <a:ln>
                      <a:noFill/>
                    </a:ln>
                  </pic:spPr>
                </pic:pic>
              </a:graphicData>
            </a:graphic>
          </wp:inline>
        </w:drawing>
      </w:r>
    </w:p>
    <w:p w14:paraId="3468B09E">
      <w:pPr>
        <w:widowControl/>
        <w:spacing w:before="0" w:after="0" w:line="360" w:lineRule="auto"/>
        <w:ind w:firstLine="420"/>
        <w:jc w:val="center"/>
      </w:pPr>
      <w:r>
        <w:rPr>
          <w:rFonts w:ascii="宋体" w:hAnsi="宋体" w:eastAsia="宋体"/>
          <w:b w:val="0"/>
          <w:sz w:val="21"/>
        </w:rPr>
        <w:t>图3  高职会计智能学习与教学决策平台首屏</w:t>
      </w:r>
    </w:p>
    <w:p w14:paraId="3B10729A">
      <w:pPr>
        <w:keepNext/>
        <w:widowControl/>
        <w:spacing w:after="80"/>
        <w:jc w:val="center"/>
        <w:rPr>
          <w:rFonts w:hint="eastAsia" w:eastAsia="宋体"/>
          <w:lang w:eastAsia="zh-CN"/>
        </w:rPr>
      </w:pPr>
      <w:r>
        <w:rPr>
          <w:rFonts w:hint="eastAsia" w:eastAsia="宋体"/>
          <w:lang w:eastAsia="zh-CN"/>
        </w:rPr>
        <w:drawing>
          <wp:inline distT="0" distB="0" distL="114300" distR="114300">
            <wp:extent cx="5039995" cy="3147695"/>
            <wp:effectExtent l="0" t="0" r="635" b="12700"/>
            <wp:docPr id="25" name="图片 2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4"/>
                    <pic:cNvPicPr>
                      <a:picLocks noChangeAspect="1"/>
                    </pic:cNvPicPr>
                  </pic:nvPicPr>
                  <pic:blipFill>
                    <a:blip r:embed="rId10"/>
                    <a:stretch>
                      <a:fillRect/>
                    </a:stretch>
                  </pic:blipFill>
                  <pic:spPr>
                    <a:xfrm>
                      <a:off x="0" y="0"/>
                      <a:ext cx="5039995" cy="3147695"/>
                    </a:xfrm>
                    <a:prstGeom prst="rect">
                      <a:avLst/>
                    </a:prstGeom>
                    <a:noFill/>
                    <a:ln>
                      <a:noFill/>
                    </a:ln>
                  </pic:spPr>
                </pic:pic>
              </a:graphicData>
            </a:graphic>
          </wp:inline>
        </w:drawing>
      </w:r>
    </w:p>
    <w:p w14:paraId="792BEE8A">
      <w:pPr>
        <w:keepNext/>
        <w:widowControl/>
        <w:spacing w:after="80"/>
        <w:jc w:val="center"/>
      </w:pPr>
      <w:r>
        <w:rPr>
          <w:rFonts w:ascii="宋体" w:hAnsi="宋体" w:eastAsia="宋体"/>
          <w:b w:val="0"/>
          <w:sz w:val="21"/>
        </w:rPr>
        <w:t>图4  “辨·演·训·评·导”五环任务中心</w:t>
      </w:r>
    </w:p>
    <w:p w14:paraId="00D7C5E9">
      <w:pPr>
        <w:widowControl/>
        <w:spacing w:before="0" w:after="0" w:line="360" w:lineRule="auto"/>
        <w:ind w:firstLine="420"/>
        <w:jc w:val="both"/>
        <w:rPr>
          <w:rFonts w:ascii="宋体" w:hAnsi="宋体" w:eastAsia="宋体"/>
          <w:b w:val="0"/>
          <w:sz w:val="21"/>
        </w:rPr>
      </w:pPr>
      <w:r>
        <w:rPr>
          <w:rFonts w:ascii="宋体" w:hAnsi="宋体" w:eastAsia="宋体"/>
          <w:b w:val="0"/>
          <w:sz w:val="21"/>
        </w:rPr>
        <w:t>在实施过程中，案例设计了“观看30秒案例导览”入口，以负责人授权肖像制作教师形象导览，凝练生活事项、3D等式、本地手势和过程证据进入教师决策等案例特色，如图5所示。该资源用于案例说明与教学导入，不替代学生专业判断和教师评价。</w:t>
      </w:r>
    </w:p>
    <w:p w14:paraId="6EDABE84">
      <w:pPr>
        <w:widowControl/>
        <w:spacing w:before="0" w:after="0" w:line="360" w:lineRule="auto"/>
        <w:ind w:firstLine="420"/>
        <w:jc w:val="center"/>
        <w:rPr>
          <w:rFonts w:hint="eastAsia" w:eastAsia="宋体"/>
          <w:lang w:eastAsia="zh-CN"/>
        </w:rPr>
      </w:pPr>
      <w:r>
        <w:rPr>
          <w:rFonts w:hint="eastAsia" w:eastAsia="宋体"/>
          <w:lang w:eastAsia="zh-CN"/>
        </w:rPr>
        <w:drawing>
          <wp:inline distT="0" distB="0" distL="114300" distR="114300">
            <wp:extent cx="5400040" cy="3372485"/>
            <wp:effectExtent l="0" t="0" r="635" b="1270"/>
            <wp:docPr id="26" name="图片 2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5"/>
                    <pic:cNvPicPr>
                      <a:picLocks noChangeAspect="1"/>
                    </pic:cNvPicPr>
                  </pic:nvPicPr>
                  <pic:blipFill>
                    <a:blip r:embed="rId11"/>
                    <a:stretch>
                      <a:fillRect/>
                    </a:stretch>
                  </pic:blipFill>
                  <pic:spPr>
                    <a:xfrm>
                      <a:off x="0" y="0"/>
                      <a:ext cx="5400040" cy="3372485"/>
                    </a:xfrm>
                    <a:prstGeom prst="rect">
                      <a:avLst/>
                    </a:prstGeom>
                    <a:noFill/>
                    <a:ln>
                      <a:noFill/>
                    </a:ln>
                  </pic:spPr>
                </pic:pic>
              </a:graphicData>
            </a:graphic>
          </wp:inline>
        </w:drawing>
      </w:r>
    </w:p>
    <w:p w14:paraId="32F44E3D">
      <w:pPr>
        <w:widowControl/>
        <w:spacing w:before="0" w:after="0" w:line="360" w:lineRule="auto"/>
        <w:ind w:firstLine="420"/>
        <w:jc w:val="center"/>
      </w:pPr>
      <w:r>
        <w:rPr>
          <w:rFonts w:ascii="宋体" w:hAnsi="宋体" w:eastAsia="宋体"/>
          <w:b w:val="0"/>
          <w:sz w:val="21"/>
        </w:rPr>
        <w:t>图5  平台教师形象案例导览</w:t>
      </w:r>
    </w:p>
    <w:p w14:paraId="73D4E1EA">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在实施过程中，案例在首页同时嵌入可展开又可收缩的五环教学智能体，通过与ai对话进行任务追问、连续对话、多轮对话、反复提问、互动问答，并提供教学干预建议（见图6）。</w:t>
      </w:r>
    </w:p>
    <w:p w14:paraId="5D409DD2">
      <w:pPr>
        <w:widowControl/>
        <w:spacing w:before="0" w:after="0" w:line="360" w:lineRule="auto"/>
        <w:ind w:firstLine="420"/>
        <w:jc w:val="center"/>
        <w:rPr>
          <w:rFonts w:hint="eastAsia" w:ascii="宋体" w:hAnsi="宋体" w:eastAsia="宋体"/>
          <w:b w:val="0"/>
          <w:sz w:val="21"/>
        </w:rPr>
      </w:pPr>
      <w:r>
        <w:drawing>
          <wp:inline distT="0" distB="0" distL="114300" distR="114300">
            <wp:extent cx="5823585" cy="3637280"/>
            <wp:effectExtent l="0" t="0" r="381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823585" cy="3637280"/>
                    </a:xfrm>
                    <a:prstGeom prst="rect">
                      <a:avLst/>
                    </a:prstGeom>
                    <a:noFill/>
                    <a:ln>
                      <a:noFill/>
                    </a:ln>
                  </pic:spPr>
                </pic:pic>
              </a:graphicData>
            </a:graphic>
          </wp:inline>
        </w:drawing>
      </w:r>
    </w:p>
    <w:p w14:paraId="5714A663">
      <w:pPr>
        <w:widowControl/>
        <w:spacing w:before="0" w:after="0" w:line="360" w:lineRule="auto"/>
        <w:ind w:firstLine="420"/>
        <w:jc w:val="center"/>
        <w:rPr>
          <w:rFonts w:hint="default" w:ascii="宋体" w:hAnsi="宋体" w:eastAsia="宋体"/>
          <w:b w:val="0"/>
          <w:sz w:val="21"/>
          <w:lang w:val="en-US" w:eastAsia="zh-CN"/>
        </w:rPr>
      </w:pPr>
      <w:r>
        <w:rPr>
          <w:rFonts w:hint="eastAsia" w:ascii="宋体" w:hAnsi="宋体" w:eastAsia="宋体"/>
          <w:b w:val="0"/>
          <w:sz w:val="21"/>
        </w:rPr>
        <w:t>图6  右侧五环教学智能体的</w:t>
      </w:r>
      <w:r>
        <w:rPr>
          <w:rFonts w:hint="eastAsia"/>
          <w:b w:val="0"/>
          <w:sz w:val="21"/>
          <w:lang w:val="en-US" w:eastAsia="zh-CN"/>
        </w:rPr>
        <w:t>初始对话界面</w:t>
      </w:r>
    </w:p>
    <w:p w14:paraId="669D21FD">
      <w:pPr>
        <w:widowControl/>
        <w:spacing w:before="0" w:after="0" w:line="360" w:lineRule="auto"/>
        <w:ind w:firstLine="420"/>
        <w:jc w:val="both"/>
      </w:pPr>
      <w:r>
        <w:rPr>
          <w:rFonts w:ascii="宋体" w:hAnsi="宋体" w:eastAsia="宋体"/>
          <w:b w:val="0"/>
          <w:sz w:val="21"/>
        </w:rPr>
        <w:t>为降低学习门槛，案例设计了整体说明和聚光灯分步引导，依次说明当前位置、操作对象、任务目的与下一环节（见图7）。学生首次提交后，系统自动定位第一处错误，并按错误类型路由至3D会计等式或双主体关系剧场；专项训练完成后自动返回原任务，保留首次判断、反馈和改进对照。教师可由五环总览进入单条轨迹，执行确认、退回和后续任务安排。</w:t>
      </w:r>
      <w:r>
        <w:rPr>
          <w:rFonts w:hint="eastAsia"/>
          <w:b w:val="0"/>
          <w:sz w:val="21"/>
          <w:lang w:val="en-US" w:eastAsia="zh-CN"/>
        </w:rPr>
      </w:r>
      <w:r>
        <w:rPr>
          <w:rFonts w:ascii="宋体" w:hAnsi="宋体" w:eastAsia="宋体"/>
          <w:b w:val="0"/>
          <w:sz w:val="21"/>
        </w:rPr>
      </w:r>
    </w:p>
    <w:p w14:paraId="68A7C1F9">
      <w:pPr>
        <w:keepNext/>
        <w:widowControl/>
        <w:spacing w:after="8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400040" cy="3284220"/>
            <wp:effectExtent l="0" t="0" r="0" b="0"/>
            <wp:docPr id="27" name="图片 2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6"/>
                    <pic:cNvPicPr>
                      <a:picLocks noChangeAspect="1"/>
                    </pic:cNvPicPr>
                  </pic:nvPicPr>
                  <pic:blipFill>
                    <a:blip r:embed="rId13"/>
                    <a:srcRect b="2617"/>
                    <a:stretch>
                      <a:fillRect/>
                    </a:stretch>
                  </pic:blipFill>
                  <pic:spPr>
                    <a:xfrm>
                      <a:off x="0" y="0"/>
                      <a:ext cx="5400040" cy="3284220"/>
                    </a:xfrm>
                    <a:prstGeom prst="rect">
                      <a:avLst/>
                    </a:prstGeom>
                    <a:noFill/>
                    <a:ln>
                      <a:noFill/>
                    </a:ln>
                  </pic:spPr>
                </pic:pic>
              </a:graphicData>
            </a:graphic>
          </wp:inline>
        </w:drawing>
      </w:r>
    </w:p>
    <w:p w14:paraId="57CB233E">
      <w:pPr>
        <w:keepNext/>
        <w:widowControl/>
        <w:spacing w:after="80"/>
        <w:jc w:val="center"/>
      </w:pPr>
      <w:r>
        <w:rPr>
          <w:rFonts w:ascii="宋体" w:hAnsi="宋体" w:eastAsia="宋体"/>
          <w:b w:val="0"/>
          <w:sz w:val="21"/>
        </w:rPr>
        <w:t>图</w:t>
      </w:r>
      <w:r>
        <w:rPr>
          <w:rFonts w:hint="eastAsia"/>
          <w:b w:val="0"/>
          <w:sz w:val="21"/>
          <w:lang w:val="en-US" w:eastAsia="zh-CN"/>
        </w:rPr>
        <w:t>7</w:t>
      </w:r>
      <w:r>
        <w:rPr>
          <w:rFonts w:ascii="宋体" w:hAnsi="宋体" w:eastAsia="宋体"/>
          <w:b w:val="0"/>
          <w:sz w:val="21"/>
        </w:rPr>
        <w:t xml:space="preserve">  聚光灯分步引导与当前任务定位</w:t>
      </w:r>
    </w:p>
    <w:p w14:paraId="5FCDFC82">
      <w:pPr>
        <w:widowControl/>
        <w:spacing w:before="0" w:after="0" w:line="360" w:lineRule="auto"/>
        <w:ind w:firstLine="420"/>
        <w:jc w:val="both"/>
      </w:pPr>
      <w:r>
        <w:rPr>
          <w:rFonts w:ascii="宋体" w:hAnsi="宋体" w:eastAsia="宋体"/>
          <w:b w:val="0"/>
          <w:sz w:val="21"/>
        </w:rPr>
        <w:t>技术上，案例基于Next.js与React构建前端，采用Prisma ORM与SQLite实现本地数据持久化，生活事项、数字支付及门户服务共享本地数据库与角色账号。DeepSeek兼容接口用于自然语言辅助，离线Mock模式保障断网流程；确定性知识、关系方向和计算结果由规则引擎校验。手势识别在浏览器本地提取21个手部关键点。案例已完成本地构建、角色权限、数据写入及多轮功能走查。</w:t>
      </w:r>
    </w:p>
    <w:p w14:paraId="179A6247">
      <w:pPr>
        <w:keepNext/>
        <w:widowControl/>
        <w:spacing w:before="160" w:after="0" w:line="360" w:lineRule="auto"/>
      </w:pPr>
      <w:r>
        <w:rPr>
          <w:rFonts w:ascii="宋体" w:hAnsi="宋体" w:eastAsia="宋体"/>
          <w:b/>
          <w:sz w:val="28"/>
        </w:rPr>
        <w:t>三、案例创新内容</w:t>
      </w:r>
    </w:p>
    <w:p w14:paraId="4EC1BDAA">
      <w:pPr>
        <w:keepNext/>
        <w:widowControl/>
        <w:spacing w:before="100" w:after="0" w:line="360" w:lineRule="auto"/>
      </w:pPr>
      <w:r>
        <w:rPr>
          <w:rFonts w:ascii="宋体" w:hAnsi="宋体" w:eastAsia="宋体"/>
          <w:b/>
          <w:sz w:val="24"/>
        </w:rPr>
        <w:t>（一）以五环机制重构学习与教学决策</w:t>
      </w:r>
    </w:p>
    <w:p w14:paraId="3B92B97B">
      <w:pPr>
        <w:widowControl/>
        <w:spacing w:before="0" w:after="0" w:line="360" w:lineRule="auto"/>
        <w:ind w:firstLine="420"/>
        <w:jc w:val="both"/>
        <w:rPr>
          <w:rFonts w:ascii="宋体" w:hAnsi="宋体" w:eastAsia="宋体"/>
          <w:b w:val="0"/>
          <w:sz w:val="21"/>
        </w:rPr>
      </w:pPr>
      <w:r>
        <w:rPr>
          <w:rFonts w:ascii="宋体" w:hAnsi="宋体" w:eastAsia="宋体"/>
          <w:b w:val="0"/>
          <w:sz w:val="21"/>
        </w:rPr>
        <w:t>案例形成“辨、演、训、评、导”循环：“辨”识别经济事项及AI回答遗漏；“演”用节点、箭头和时间轴表达数字支付关系；“训”完成管理会计项目；“评”汇总过程证据和诊断测评；“导”由教师复核并把反馈返回“辨”或“训”（见图</w:t>
      </w:r>
      <w:r>
        <w:rPr>
          <w:rFonts w:hint="eastAsia"/>
          <w:b w:val="0"/>
          <w:sz w:val="21"/>
          <w:lang w:val="en-US" w:eastAsia="zh-CN"/>
        </w:rPr>
        <w:t>8</w:t>
      </w:r>
      <w:r>
        <w:rPr>
          <w:rFonts w:ascii="宋体" w:hAnsi="宋体" w:eastAsia="宋体"/>
          <w:b w:val="0"/>
          <w:sz w:val="21"/>
        </w:rPr>
        <w:t>）。</w:t>
      </w:r>
    </w:p>
    <w:p w14:paraId="57D7C4D7">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19140" cy="3274695"/>
            <wp:effectExtent l="0" t="0" r="8255" b="5715"/>
            <wp:docPr id="7" name="图片 7" descr="img_five_ring_mechani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five_ring_mechanism (1)"/>
                    <pic:cNvPicPr>
                      <a:picLocks noChangeAspect="1"/>
                    </pic:cNvPicPr>
                  </pic:nvPicPr>
                  <pic:blipFill>
                    <a:blip r:embed="rId14"/>
                    <a:stretch>
                      <a:fillRect/>
                    </a:stretch>
                  </pic:blipFill>
                  <pic:spPr>
                    <a:xfrm>
                      <a:off x="0" y="0"/>
                      <a:ext cx="5819140" cy="3274695"/>
                    </a:xfrm>
                    <a:prstGeom prst="rect">
                      <a:avLst/>
                    </a:prstGeom>
                  </pic:spPr>
                </pic:pic>
              </a:graphicData>
            </a:graphic>
          </wp:inline>
        </w:drawing>
      </w:r>
    </w:p>
    <w:p w14:paraId="70F938CE">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8</w:t>
      </w:r>
      <w:r>
        <w:rPr>
          <w:rFonts w:ascii="宋体" w:hAnsi="宋体" w:eastAsia="宋体"/>
          <w:b w:val="0"/>
          <w:sz w:val="21"/>
        </w:rPr>
        <w:t xml:space="preserve">  </w:t>
      </w:r>
      <w:r>
        <w:rPr>
          <w:rFonts w:hint="eastAsia" w:ascii="宋体" w:hAnsi="宋体" w:eastAsia="宋体"/>
          <w:b w:val="0"/>
          <w:sz w:val="21"/>
        </w:rPr>
        <w:t>五环机制示意图</w:t>
      </w:r>
    </w:p>
    <w:p w14:paraId="6DD233DC">
      <w:pPr>
        <w:keepNext/>
        <w:widowControl/>
        <w:spacing w:before="100" w:after="0" w:line="360" w:lineRule="auto"/>
      </w:pPr>
      <w:r>
        <w:rPr>
          <w:rFonts w:ascii="宋体" w:hAnsi="宋体" w:eastAsia="宋体"/>
          <w:b/>
          <w:sz w:val="24"/>
        </w:rPr>
        <w:t>（二）建立规则、AI、学生和教师边界清晰的可信协同</w:t>
      </w:r>
    </w:p>
    <w:p w14:paraId="38606981">
      <w:pPr>
        <w:widowControl/>
        <w:spacing w:before="0" w:after="0" w:line="360" w:lineRule="auto"/>
        <w:ind w:firstLine="420"/>
        <w:jc w:val="both"/>
      </w:pPr>
      <w:r>
        <w:rPr>
          <w:rFonts w:ascii="宋体" w:hAnsi="宋体" w:eastAsia="宋体"/>
          <w:b w:val="0"/>
          <w:sz w:val="21"/>
        </w:rPr>
        <w:t>学生必须先判断；输入质量、客观答案、关系方向和计算结果优先由规则处理；大模型承担生活语言结构化、针对性追问、反馈表达、变式任务和备课草稿；低置信度及规则冲突进入教师复核。案例既防止AI抢答，也避免把规则计算包装成大模型智能评价。</w:t>
      </w:r>
    </w:p>
    <w:p w14:paraId="585B0CD6">
      <w:pPr>
        <w:keepNext/>
        <w:widowControl/>
        <w:spacing w:before="100" w:after="0" w:line="360" w:lineRule="auto"/>
        <w:rPr>
          <w:color w:val="000000" w:themeColor="text1"/>
          <w14:textFill>
            <w14:solidFill>
              <w14:schemeClr w14:val="tx1"/>
            </w14:solidFill>
          </w14:textFill>
        </w:rPr>
      </w:pPr>
      <w:r>
        <w:rPr>
          <w:rFonts w:ascii="宋体" w:hAnsi="宋体" w:eastAsia="宋体"/>
          <w:b/>
          <w:color w:val="000000" w:themeColor="text1"/>
          <w:sz w:val="24"/>
          <w14:textFill>
            <w14:solidFill>
              <w14:schemeClr w14:val="tx1"/>
            </w14:solidFill>
          </w14:textFill>
        </w:rPr>
        <w:t>（三）以五环教学智能体约束对话式AI</w:t>
      </w:r>
    </w:p>
    <w:p w14:paraId="1D18D0EC">
      <w:pPr>
        <w:widowControl/>
        <w:spacing w:before="0" w:after="0" w:line="360" w:lineRule="auto"/>
        <w:ind w:firstLine="420"/>
        <w:jc w:val="both"/>
        <w:rPr>
          <w:rFonts w:ascii="宋体" w:hAnsi="宋体" w:eastAsia="宋体"/>
          <w:b w:val="0"/>
          <w:color w:val="000000" w:themeColor="text1"/>
          <w:sz w:val="21"/>
          <w14:textFill>
            <w14:solidFill>
              <w14:schemeClr w14:val="tx1"/>
            </w14:solidFill>
          </w14:textFill>
        </w:rPr>
      </w:pPr>
      <w:r>
        <w:rPr>
          <w:rFonts w:ascii="宋体" w:hAnsi="宋体" w:eastAsia="宋体"/>
          <w:b w:val="0"/>
          <w:color w:val="000000" w:themeColor="text1"/>
          <w:sz w:val="21"/>
          <w14:textFill>
            <w14:solidFill>
              <w14:schemeClr w14:val="tx1"/>
            </w14:solidFill>
          </w14:textFill>
        </w:rPr>
        <w:t>针对通用聊天工具容易脱离课程任务、直接代答和忽视隐私边界的问题，平台构建可收缩的五环教学智能体。智能体以五环专业语境约束系统提示，围绕会计主体、资源、权利义务和时间节点进行追问；界面常驻“先判断，再辅助”、敏感信息提醒和输出核验提示，支持预置问题、连续对话、清空记录及接口异常反馈</w:t>
      </w:r>
      <w:r>
        <w:rPr>
          <w:rFonts w:ascii="宋体" w:hAnsi="宋体" w:eastAsia="宋体"/>
          <w:b w:val="0"/>
          <w:sz w:val="21"/>
        </w:rPr>
        <w:t>（见图</w:t>
      </w:r>
      <w:r>
        <w:rPr>
          <w:rFonts w:hint="eastAsia"/>
          <w:b w:val="0"/>
          <w:sz w:val="21"/>
          <w:lang w:val="en-US" w:eastAsia="zh-CN"/>
        </w:rPr>
        <w:t>9</w:t>
      </w:r>
      <w:r>
        <w:rPr>
          <w:rFonts w:ascii="宋体" w:hAnsi="宋体" w:eastAsia="宋体"/>
          <w:b w:val="0"/>
          <w:sz w:val="21"/>
        </w:rPr>
        <w:t>）</w:t>
      </w:r>
      <w:r>
        <w:rPr>
          <w:rFonts w:ascii="宋体" w:hAnsi="宋体" w:eastAsia="宋体"/>
          <w:b w:val="0"/>
          <w:color w:val="000000" w:themeColor="text1"/>
          <w:sz w:val="21"/>
          <w14:textFill>
            <w14:solidFill>
              <w14:schemeClr w14:val="tx1"/>
            </w14:solidFill>
          </w14:textFill>
        </w:rPr>
        <w:t>。</w:t>
      </w:r>
    </w:p>
    <w:p w14:paraId="12D170E0">
      <w:pPr>
        <w:widowControl/>
        <w:spacing w:before="0" w:after="0" w:line="360" w:lineRule="auto"/>
        <w:ind w:firstLine="420"/>
        <w:jc w:val="both"/>
      </w:pPr>
      <w:r>
        <w:drawing>
          <wp:inline distT="0" distB="0" distL="114300" distR="114300">
            <wp:extent cx="5823585" cy="3639820"/>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823585" cy="3639820"/>
                    </a:xfrm>
                    <a:prstGeom prst="rect">
                      <a:avLst/>
                    </a:prstGeom>
                    <a:noFill/>
                    <a:ln>
                      <a:noFill/>
                    </a:ln>
                  </pic:spPr>
                </pic:pic>
              </a:graphicData>
            </a:graphic>
          </wp:inline>
        </w:drawing>
      </w:r>
    </w:p>
    <w:p w14:paraId="76B85479">
      <w:pPr>
        <w:widowControl/>
        <w:spacing w:before="0" w:after="0" w:line="360" w:lineRule="auto"/>
        <w:ind w:firstLine="420"/>
        <w:jc w:val="center"/>
        <w:rPr>
          <w:rFonts w:hint="default" w:eastAsia="宋体"/>
          <w:lang w:val="en-US" w:eastAsia="zh-CN"/>
        </w:rPr>
      </w:pPr>
      <w:r>
        <w:rPr>
          <w:rFonts w:hint="eastAsia"/>
          <w:lang w:val="en-US" w:eastAsia="zh-CN"/>
        </w:rPr>
        <w:t>图9</w:t>
      </w:r>
      <w:r>
        <w:rPr>
          <w:rFonts w:ascii="宋体" w:hAnsi="宋体" w:eastAsia="宋体"/>
          <w:b w:val="0"/>
          <w:sz w:val="21"/>
        </w:rPr>
        <w:t xml:space="preserve">  </w:t>
      </w:r>
      <w:r>
        <w:rPr>
          <w:rFonts w:hint="eastAsia" w:ascii="宋体" w:hAnsi="宋体" w:eastAsia="宋体"/>
          <w:b w:val="0"/>
          <w:sz w:val="21"/>
        </w:rPr>
        <w:t>右侧五环教学智能体</w:t>
      </w:r>
      <w:r>
        <w:rPr>
          <w:rFonts w:hint="eastAsia"/>
          <w:b w:val="0"/>
          <w:sz w:val="21"/>
          <w:lang w:val="en-US" w:eastAsia="zh-CN"/>
        </w:rPr>
        <w:t>与AI对话过程中的</w:t>
      </w:r>
      <w:r>
        <w:rPr>
          <w:rFonts w:hint="eastAsia" w:ascii="宋体" w:hAnsi="宋体" w:eastAsia="宋体"/>
          <w:b w:val="0"/>
          <w:sz w:val="21"/>
        </w:rPr>
        <w:t>边界提示与追问反馈</w:t>
      </w:r>
    </w:p>
    <w:p w14:paraId="311B73B5">
      <w:pPr>
        <w:keepNext/>
        <w:widowControl/>
        <w:spacing w:before="100" w:after="0" w:line="360" w:lineRule="auto"/>
      </w:pPr>
      <w:r>
        <w:rPr>
          <w:rFonts w:ascii="宋体" w:hAnsi="宋体" w:eastAsia="宋体"/>
          <w:b/>
          <w:sz w:val="24"/>
        </w:rPr>
        <w:t>（</w:t>
      </w:r>
      <w:r>
        <w:rPr>
          <w:rFonts w:hint="eastAsia"/>
          <w:b/>
          <w:sz w:val="24"/>
          <w:lang w:val="en-US" w:eastAsia="zh-CN"/>
        </w:rPr>
        <w:t>四</w:t>
      </w:r>
      <w:r>
        <w:rPr>
          <w:rFonts w:ascii="宋体" w:hAnsi="宋体" w:eastAsia="宋体"/>
          <w:b/>
          <w:sz w:val="24"/>
        </w:rPr>
        <w:t>）以多层模型和关系剧场显化会计认知过程</w:t>
      </w:r>
    </w:p>
    <w:p w14:paraId="5A7A06EA">
      <w:pPr>
        <w:widowControl/>
        <w:spacing w:before="0" w:after="0" w:line="360" w:lineRule="auto"/>
        <w:ind w:firstLine="420"/>
        <w:jc w:val="both"/>
        <w:rPr>
          <w:rFonts w:ascii="宋体" w:hAnsi="宋体" w:eastAsia="宋体"/>
          <w:b w:val="0"/>
          <w:sz w:val="21"/>
        </w:rPr>
      </w:pPr>
      <w:r>
        <w:rPr>
          <w:rFonts w:ascii="宋体" w:hAnsi="宋体" w:eastAsia="宋体"/>
          <w:b w:val="0"/>
          <w:sz w:val="21"/>
        </w:rPr>
        <w:t>四层动态认知模型把生活语言逐层转化为“事项—主体—资源与义务—会计表达”，使学生能够观察AI结构化结果并进行专业核验，如图</w:t>
      </w:r>
      <w:r>
        <w:rPr>
          <w:rFonts w:hint="eastAsia"/>
          <w:b w:val="0"/>
          <w:sz w:val="21"/>
          <w:lang w:val="en-US" w:eastAsia="zh-CN"/>
        </w:rPr>
        <w:t>10</w:t>
      </w:r>
      <w:r>
        <w:rPr>
          <w:rFonts w:ascii="宋体" w:hAnsi="宋体" w:eastAsia="宋体"/>
          <w:b w:val="0"/>
          <w:sz w:val="21"/>
        </w:rPr>
        <w:t>所示。双主体关系剧场沿支付、权利义务形成和归还三个阶段切换观察视角（见图</w:t>
      </w:r>
      <w:r>
        <w:rPr>
          <w:rFonts w:hint="eastAsia"/>
          <w:b w:val="0"/>
          <w:sz w:val="21"/>
          <w:lang w:val="en-US" w:eastAsia="zh-CN"/>
        </w:rPr>
        <w:t>11</w:t>
      </w:r>
      <w:r>
        <w:rPr>
          <w:rFonts w:ascii="宋体" w:hAnsi="宋体" w:eastAsia="宋体"/>
          <w:b w:val="0"/>
          <w:sz w:val="21"/>
        </w:rPr>
        <w:t>），避免仅凭资金方向判断收入费用。错误时，3D会计等式以天平倾斜呈现结构失衡；修正后账户模型依次下落并恢复平衡，高清账牌标示账户名称、增减方向和要素归属（见图</w:t>
      </w:r>
      <w:r>
        <w:rPr>
          <w:rFonts w:hint="eastAsia"/>
          <w:b w:val="0"/>
          <w:sz w:val="21"/>
          <w:lang w:val="en-US" w:eastAsia="zh-CN"/>
        </w:rPr>
        <w:t>12</w:t>
      </w:r>
      <w:r>
        <w:rPr>
          <w:rFonts w:ascii="宋体" w:hAnsi="宋体" w:eastAsia="宋体"/>
          <w:b w:val="0"/>
          <w:sz w:val="21"/>
        </w:rPr>
        <w:t>）。</w:t>
      </w:r>
    </w:p>
    <w:p w14:paraId="513DFEDA">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3585" cy="3637280"/>
            <wp:effectExtent l="0" t="0" r="3810" b="3175"/>
            <wp:docPr id="28" name="图片 29"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图片7"/>
                    <pic:cNvPicPr>
                      <a:picLocks noChangeAspect="1"/>
                    </pic:cNvPicPr>
                  </pic:nvPicPr>
                  <pic:blipFill>
                    <a:blip r:embed="rId16"/>
                    <a:stretch>
                      <a:fillRect/>
                    </a:stretch>
                  </pic:blipFill>
                  <pic:spPr>
                    <a:xfrm>
                      <a:off x="0" y="0"/>
                      <a:ext cx="5823585" cy="3637280"/>
                    </a:xfrm>
                    <a:prstGeom prst="rect">
                      <a:avLst/>
                    </a:prstGeom>
                    <a:noFill/>
                    <a:ln>
                      <a:noFill/>
                    </a:ln>
                  </pic:spPr>
                </pic:pic>
              </a:graphicData>
            </a:graphic>
          </wp:inline>
        </w:drawing>
      </w:r>
    </w:p>
    <w:p w14:paraId="7E087CF8">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10</w:t>
      </w:r>
      <w:r>
        <w:rPr>
          <w:rFonts w:ascii="宋体" w:hAnsi="宋体" w:eastAsia="宋体"/>
          <w:b w:val="0"/>
          <w:sz w:val="21"/>
        </w:rPr>
        <w:t xml:space="preserve">  生活经济事项四层动态认知模型</w:t>
      </w:r>
    </w:p>
    <w:p w14:paraId="478FDD7E">
      <w:pPr>
        <w:widowControl/>
        <w:spacing w:before="0" w:after="0" w:line="360" w:lineRule="auto"/>
        <w:ind w:firstLine="420"/>
        <w:jc w:val="center"/>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35320" cy="3312795"/>
            <wp:effectExtent l="0" t="0" r="12065" b="7620"/>
            <wp:docPr id="29"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0" descr="图片8"/>
                    <pic:cNvPicPr>
                      <a:picLocks noChangeAspect="1"/>
                    </pic:cNvPicPr>
                  </pic:nvPicPr>
                  <pic:blipFill>
                    <a:blip r:embed="rId17"/>
                    <a:srcRect t="1668" r="1094" b="2293"/>
                    <a:stretch>
                      <a:fillRect/>
                    </a:stretch>
                  </pic:blipFill>
                  <pic:spPr>
                    <a:xfrm>
                      <a:off x="0" y="0"/>
                      <a:ext cx="5735320" cy="3312795"/>
                    </a:xfrm>
                    <a:prstGeom prst="rect">
                      <a:avLst/>
                    </a:prstGeom>
                    <a:noFill/>
                    <a:ln>
                      <a:noFill/>
                    </a:ln>
                  </pic:spPr>
                </pic:pic>
              </a:graphicData>
            </a:graphic>
          </wp:inline>
        </w:drawing>
      </w:r>
    </w:p>
    <w:p w14:paraId="7D41D410">
      <w:pPr>
        <w:widowControl/>
        <w:spacing w:before="0" w:after="0" w:line="360" w:lineRule="auto"/>
        <w:ind w:firstLine="420"/>
        <w:jc w:val="center"/>
        <w:rPr>
          <w:rFonts w:ascii="宋体" w:hAnsi="宋体" w:eastAsia="宋体"/>
          <w:b w:val="0"/>
          <w:sz w:val="21"/>
        </w:rPr>
      </w:pPr>
      <w:r>
        <w:rPr>
          <w:rFonts w:ascii="宋体" w:hAnsi="宋体" w:eastAsia="宋体"/>
          <w:b w:val="0"/>
          <w:sz w:val="21"/>
        </w:rPr>
        <w:t>图</w:t>
      </w:r>
      <w:r>
        <w:rPr>
          <w:rFonts w:hint="eastAsia"/>
          <w:b w:val="0"/>
          <w:sz w:val="21"/>
          <w:lang w:val="en-US" w:eastAsia="zh-CN"/>
        </w:rPr>
        <w:t>11</w:t>
      </w:r>
      <w:r>
        <w:rPr>
          <w:rFonts w:ascii="宋体" w:hAnsi="宋体" w:eastAsia="宋体"/>
          <w:b w:val="0"/>
          <w:sz w:val="21"/>
        </w:rPr>
        <w:t xml:space="preserve">  双主体关系剧场与观察视角切换</w:t>
      </w:r>
    </w:p>
    <w:p w14:paraId="724192EB">
      <w:pPr>
        <w:keepNext/>
        <w:widowControl/>
        <w:spacing w:after="80"/>
        <w:jc w:val="center"/>
      </w:pPr>
      <w:r>
        <w:drawing>
          <wp:inline distT="0" distB="0" distL="114300" distR="114300">
            <wp:extent cx="5246370" cy="3279775"/>
            <wp:effectExtent l="0" t="0" r="762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a:stretch>
                      <a:fillRect/>
                    </a:stretch>
                  </pic:blipFill>
                  <pic:spPr>
                    <a:xfrm>
                      <a:off x="0" y="0"/>
                      <a:ext cx="5246370" cy="3279775"/>
                    </a:xfrm>
                    <a:prstGeom prst="rect">
                      <a:avLst/>
                    </a:prstGeom>
                    <a:noFill/>
                    <a:ln>
                      <a:noFill/>
                    </a:ln>
                  </pic:spPr>
                </pic:pic>
              </a:graphicData>
            </a:graphic>
          </wp:inline>
        </w:drawing>
      </w:r>
    </w:p>
    <w:p w14:paraId="41AB3657">
      <w:pPr>
        <w:keepNext/>
        <w:widowControl/>
        <w:spacing w:after="80"/>
        <w:jc w:val="center"/>
        <w:rPr>
          <w:rFonts w:hint="default" w:eastAsia="宋体"/>
          <w:lang w:val="en-US" w:eastAsia="zh-CN"/>
        </w:rPr>
      </w:pPr>
      <w:r>
        <w:rPr>
          <w:rFonts w:ascii="宋体" w:hAnsi="宋体" w:eastAsia="宋体"/>
          <w:b w:val="0"/>
          <w:sz w:val="21"/>
        </w:rPr>
        <w:t>图</w:t>
      </w:r>
      <w:r>
        <w:rPr>
          <w:rFonts w:hint="eastAsia"/>
          <w:b w:val="0"/>
          <w:sz w:val="21"/>
          <w:lang w:val="en-US" w:eastAsia="zh-CN"/>
        </w:rPr>
        <w:t>12</w:t>
      </w:r>
      <w:r>
        <w:rPr>
          <w:rFonts w:ascii="宋体" w:hAnsi="宋体" w:eastAsia="宋体"/>
          <w:b w:val="0"/>
          <w:sz w:val="21"/>
        </w:rPr>
        <w:t xml:space="preserve">  </w:t>
      </w:r>
      <w:r>
        <w:rPr>
          <w:rFonts w:hint="eastAsia"/>
        </w:rPr>
        <w:t>3D会计等式平衡实验室</w:t>
      </w:r>
      <w:r>
        <w:rPr>
          <w:rFonts w:hint="eastAsia"/>
          <w:lang w:val="en-US" w:eastAsia="zh-CN"/>
        </w:rPr>
        <w:t>与动态演示</w:t>
      </w:r>
    </w:p>
    <w:p w14:paraId="7C137C43">
      <w:pPr>
        <w:keepNext/>
        <w:widowControl/>
        <w:spacing w:before="100" w:after="0" w:line="360" w:lineRule="auto"/>
      </w:pPr>
      <w:r>
        <w:rPr>
          <w:rFonts w:ascii="宋体" w:hAnsi="宋体" w:eastAsia="宋体"/>
          <w:b/>
          <w:sz w:val="24"/>
        </w:rPr>
        <w:t>（</w:t>
      </w:r>
      <w:r>
        <w:rPr>
          <w:rFonts w:hint="eastAsia"/>
          <w:b/>
          <w:sz w:val="24"/>
          <w:lang w:val="en-US" w:eastAsia="zh-CN"/>
        </w:rPr>
        <w:t>五</w:t>
      </w:r>
      <w:r>
        <w:rPr>
          <w:rFonts w:ascii="宋体" w:hAnsi="宋体" w:eastAsia="宋体"/>
          <w:b/>
          <w:sz w:val="24"/>
        </w:rPr>
        <w:t>）以本地视觉识别形成可解释的具身交互</w:t>
      </w:r>
    </w:p>
    <w:p w14:paraId="2C19F608">
      <w:pPr>
        <w:widowControl/>
        <w:spacing w:before="0" w:after="0" w:line="360" w:lineRule="auto"/>
        <w:ind w:firstLine="420"/>
        <w:jc w:val="both"/>
        <w:rPr>
          <w:rFonts w:ascii="宋体" w:hAnsi="宋体" w:eastAsia="宋体"/>
          <w:b w:val="0"/>
          <w:sz w:val="21"/>
        </w:rPr>
      </w:pPr>
      <w:r>
        <w:rPr>
          <w:rFonts w:ascii="宋体" w:hAnsi="宋体" w:eastAsia="宋体"/>
          <w:b w:val="0"/>
          <w:sz w:val="21"/>
        </w:rPr>
        <w:t>手势闯关用四张大图说明食指、胜利、拇指和握拳动作</w:t>
      </w:r>
      <w:r>
        <w:rPr>
          <w:rFonts w:hint="eastAsia"/>
          <w:b w:val="0"/>
          <w:sz w:val="21"/>
          <w:lang w:eastAsia="zh-CN"/>
        </w:rPr>
        <w:t>（</w:t>
      </w:r>
      <w:r>
        <w:rPr>
          <w:rFonts w:ascii="宋体" w:hAnsi="宋体" w:eastAsia="宋体"/>
          <w:b w:val="0"/>
          <w:sz w:val="21"/>
        </w:rPr>
        <w:t>见图</w:t>
      </w:r>
      <w:r>
        <w:rPr>
          <w:rFonts w:hint="eastAsia"/>
          <w:b w:val="0"/>
          <w:sz w:val="21"/>
          <w:lang w:val="en-US" w:eastAsia="zh-CN"/>
        </w:rPr>
        <w:t>13</w:t>
      </w:r>
      <w:r>
        <w:rPr>
          <w:rFonts w:hint="eastAsia"/>
          <w:b w:val="0"/>
          <w:sz w:val="21"/>
          <w:lang w:eastAsia="zh-CN"/>
        </w:rPr>
        <w:t>）</w:t>
      </w:r>
      <w:r>
        <w:rPr>
          <w:rFonts w:ascii="宋体" w:hAnsi="宋体" w:eastAsia="宋体"/>
          <w:b w:val="0"/>
          <w:sz w:val="21"/>
        </w:rPr>
        <w:t>，并通过“摄像头画面—21点手部骨架—手势类别—会计答案”显示识别链条，如图</w:t>
      </w:r>
      <w:r>
        <w:rPr>
          <w:rFonts w:hint="eastAsia"/>
          <w:b w:val="0"/>
          <w:sz w:val="21"/>
          <w:lang w:val="en-US" w:eastAsia="zh-CN"/>
        </w:rPr>
        <w:t>14</w:t>
      </w:r>
      <w:r>
        <w:rPr>
          <w:rFonts w:ascii="宋体" w:hAnsi="宋体" w:eastAsia="宋体"/>
          <w:b w:val="0"/>
          <w:sz w:val="21"/>
        </w:rPr>
        <w:t>所示。</w:t>
      </w:r>
    </w:p>
    <w:p w14:paraId="0300DA68">
      <w:pPr>
        <w:widowControl/>
        <w:spacing w:before="0" w:after="0" w:line="360" w:lineRule="auto"/>
        <w:ind w:firstLine="420"/>
        <w:jc w:val="center"/>
      </w:pPr>
      <w:r>
        <w:drawing>
          <wp:inline distT="0" distB="0" distL="114300" distR="114300">
            <wp:extent cx="5278120" cy="3296920"/>
            <wp:effectExtent l="0" t="0" r="254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9"/>
                    <a:stretch>
                      <a:fillRect/>
                    </a:stretch>
                  </pic:blipFill>
                  <pic:spPr>
                    <a:xfrm>
                      <a:off x="0" y="0"/>
                      <a:ext cx="5278120" cy="3296920"/>
                    </a:xfrm>
                    <a:prstGeom prst="rect">
                      <a:avLst/>
                    </a:prstGeom>
                    <a:noFill/>
                    <a:ln>
                      <a:noFill/>
                    </a:ln>
                  </pic:spPr>
                </pic:pic>
              </a:graphicData>
            </a:graphic>
          </wp:inline>
        </w:drawing>
      </w:r>
    </w:p>
    <w:p w14:paraId="517486A1">
      <w:pPr>
        <w:widowControl/>
        <w:spacing w:before="0" w:after="0" w:line="360" w:lineRule="auto"/>
        <w:ind w:firstLine="420"/>
        <w:jc w:val="center"/>
      </w:pPr>
      <w:r>
        <w:rPr>
          <w:rFonts w:ascii="宋体" w:hAnsi="宋体" w:eastAsia="宋体"/>
          <w:b w:val="0"/>
          <w:sz w:val="21"/>
        </w:rPr>
        <w:t>图</w:t>
      </w:r>
      <w:r>
        <w:rPr>
          <w:rFonts w:hint="eastAsia"/>
          <w:b w:val="0"/>
          <w:sz w:val="21"/>
          <w:lang w:val="en-US" w:eastAsia="zh-CN"/>
        </w:rPr>
        <w:t>13</w:t>
      </w:r>
      <w:r>
        <w:rPr>
          <w:rFonts w:ascii="宋体" w:hAnsi="宋体" w:eastAsia="宋体"/>
          <w:b w:val="0"/>
          <w:sz w:val="21"/>
        </w:rPr>
        <w:t xml:space="preserve"> </w:t>
      </w:r>
      <w:r>
        <w:rPr>
          <w:rFonts w:hint="eastAsia"/>
          <w:b w:val="0"/>
          <w:sz w:val="21"/>
          <w:lang w:val="en-US" w:eastAsia="zh-CN"/>
        </w:rPr>
        <w:t>四种答题</w:t>
      </w:r>
      <w:r>
        <w:rPr>
          <w:rFonts w:ascii="宋体" w:hAnsi="宋体" w:eastAsia="宋体"/>
          <w:b w:val="0"/>
          <w:sz w:val="21"/>
        </w:rPr>
        <w:t>手势图解</w:t>
      </w:r>
    </w:p>
    <w:p w14:paraId="5A1052DF">
      <w:pPr>
        <w:widowControl/>
        <w:spacing w:before="0" w:after="0" w:line="360" w:lineRule="auto"/>
        <w:ind w:firstLine="420"/>
        <w:jc w:val="center"/>
        <w:rPr>
          <w:rFonts w:hint="eastAsia"/>
          <w:lang w:val="en-US" w:eastAsia="zh-CN"/>
        </w:rPr>
      </w:pPr>
      <w:r>
        <w:rPr>
          <w:rFonts w:hint="eastAsia"/>
          <w:lang w:val="en-US" w:eastAsia="zh-CN"/>
        </w:rPr>
        <w:drawing>
          <wp:inline distT="0" distB="0" distL="114300" distR="114300">
            <wp:extent cx="5293995" cy="3140075"/>
            <wp:effectExtent l="0" t="0" r="0" b="6985"/>
            <wp:docPr id="30" name="图片 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图片9"/>
                    <pic:cNvPicPr>
                      <a:picLocks noChangeAspect="1"/>
                    </pic:cNvPicPr>
                  </pic:nvPicPr>
                  <pic:blipFill>
                    <a:blip r:embed="rId20"/>
                    <a:srcRect t="1561"/>
                    <a:stretch>
                      <a:fillRect/>
                    </a:stretch>
                  </pic:blipFill>
                  <pic:spPr>
                    <a:xfrm>
                      <a:off x="0" y="0"/>
                      <a:ext cx="5293995" cy="3140075"/>
                    </a:xfrm>
                    <a:prstGeom prst="rect">
                      <a:avLst/>
                    </a:prstGeom>
                    <a:noFill/>
                    <a:ln>
                      <a:noFill/>
                    </a:ln>
                  </pic:spPr>
                </pic:pic>
              </a:graphicData>
            </a:graphic>
          </wp:inline>
        </w:drawing>
      </w:r>
    </w:p>
    <w:p w14:paraId="4DE215A0">
      <w:pPr>
        <w:widowControl/>
        <w:spacing w:before="0" w:after="0" w:line="360" w:lineRule="auto"/>
        <w:ind w:firstLine="420"/>
        <w:jc w:val="center"/>
        <w:rPr>
          <w:rFonts w:hint="eastAsia" w:ascii="宋体" w:hAnsi="宋体" w:eastAsia="宋体"/>
          <w:b w:val="0"/>
          <w:sz w:val="21"/>
          <w:lang w:eastAsia="zh-CN"/>
        </w:rPr>
      </w:pPr>
      <w:r>
        <w:rPr>
          <w:rFonts w:ascii="宋体" w:hAnsi="宋体" w:eastAsia="宋体"/>
          <w:b w:val="0"/>
          <w:sz w:val="21"/>
        </w:rPr>
        <w:t>图</w:t>
      </w:r>
      <w:r>
        <w:rPr>
          <w:rFonts w:hint="eastAsia"/>
          <w:b w:val="0"/>
          <w:sz w:val="21"/>
          <w:lang w:val="en-US" w:eastAsia="zh-CN"/>
        </w:rPr>
        <w:t>14</w:t>
      </w:r>
      <w:r>
        <w:rPr>
          <w:rFonts w:ascii="宋体" w:hAnsi="宋体" w:eastAsia="宋体"/>
          <w:b w:val="0"/>
          <w:sz w:val="21"/>
        </w:rPr>
        <w:t xml:space="preserve">  21点手部骨架、本地识别链条与手势图解</w:t>
      </w:r>
    </w:p>
    <w:p w14:paraId="2EA03FB6">
      <w:pPr>
        <w:keepNext/>
        <w:widowControl/>
        <w:spacing w:before="100" w:after="0" w:line="360" w:lineRule="auto"/>
      </w:pPr>
      <w:r>
        <w:rPr>
          <w:rFonts w:ascii="宋体" w:hAnsi="宋体" w:eastAsia="宋体"/>
          <w:b/>
          <w:sz w:val="24"/>
        </w:rPr>
        <w:t>（</w:t>
      </w:r>
      <w:r>
        <w:rPr>
          <w:rFonts w:hint="eastAsia"/>
          <w:b/>
          <w:sz w:val="24"/>
          <w:lang w:val="en-US" w:eastAsia="zh-CN"/>
        </w:rPr>
        <w:t>六</w:t>
      </w:r>
      <w:r>
        <w:rPr>
          <w:rFonts w:ascii="宋体" w:hAnsi="宋体" w:eastAsia="宋体"/>
          <w:b/>
          <w:sz w:val="24"/>
        </w:rPr>
        <w:t>）把数字支付从文字案例转化为可操作的关系画布</w:t>
      </w:r>
    </w:p>
    <w:p w14:paraId="1A0388D0">
      <w:pPr>
        <w:widowControl/>
        <w:spacing w:before="0" w:after="0" w:line="360" w:lineRule="auto"/>
        <w:ind w:firstLine="420"/>
        <w:jc w:val="both"/>
        <w:rPr>
          <w:rFonts w:ascii="宋体" w:hAnsi="宋体" w:eastAsia="宋体"/>
          <w:b w:val="0"/>
          <w:sz w:val="21"/>
        </w:rPr>
      </w:pPr>
      <w:r>
        <w:rPr>
          <w:rFonts w:ascii="宋体" w:hAnsi="宋体" w:eastAsia="宋体"/>
          <w:b w:val="0"/>
          <w:sz w:val="21"/>
        </w:rPr>
        <w:t>学生亲手选择关系类型、金额、起点和终点，错误方向直接表现为反向箭头；规则反馈后返回原画布修改，首次推演与订正推演并列保存。时间轴进一步区分购买、账单形成和还款节点，使“一笔支付、多个主体、多个时点”的关系可以操作、检查和复述（见图1</w:t>
      </w:r>
      <w:r>
        <w:rPr>
          <w:rFonts w:hint="eastAsia"/>
          <w:b w:val="0"/>
          <w:sz w:val="21"/>
          <w:lang w:val="en-US" w:eastAsia="zh-CN"/>
        </w:rPr>
        <w:t>5</w:t>
      </w:r>
      <w:r>
        <w:rPr>
          <w:rFonts w:ascii="宋体" w:hAnsi="宋体" w:eastAsia="宋体"/>
          <w:b w:val="0"/>
          <w:sz w:val="21"/>
        </w:rPr>
        <w:t>）。</w:t>
      </w:r>
    </w:p>
    <w:p w14:paraId="09916689">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323205" cy="3324860"/>
            <wp:effectExtent l="0" t="0" r="10795" b="8890"/>
            <wp:docPr id="33" name="图片 3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片11"/>
                    <pic:cNvPicPr>
                      <a:picLocks noChangeAspect="1"/>
                    </pic:cNvPicPr>
                  </pic:nvPicPr>
                  <pic:blipFill>
                    <a:blip r:embed="rId21"/>
                    <a:stretch>
                      <a:fillRect/>
                    </a:stretch>
                  </pic:blipFill>
                  <pic:spPr>
                    <a:xfrm>
                      <a:off x="0" y="0"/>
                      <a:ext cx="5323205" cy="3324860"/>
                    </a:xfrm>
                    <a:prstGeom prst="rect">
                      <a:avLst/>
                    </a:prstGeom>
                    <a:noFill/>
                    <a:ln>
                      <a:noFill/>
                    </a:ln>
                  </pic:spPr>
                </pic:pic>
              </a:graphicData>
            </a:graphic>
          </wp:inline>
        </w:drawing>
      </w:r>
    </w:p>
    <w:p w14:paraId="5520DF35">
      <w:pPr>
        <w:widowControl/>
        <w:spacing w:before="0" w:after="0" w:line="360" w:lineRule="auto"/>
        <w:ind w:firstLine="420"/>
        <w:jc w:val="center"/>
      </w:pPr>
      <w:r>
        <w:rPr>
          <w:rFonts w:ascii="宋体" w:hAnsi="宋体" w:eastAsia="宋体"/>
          <w:b w:val="0"/>
          <w:sz w:val="21"/>
        </w:rPr>
        <w:t>图1</w:t>
      </w:r>
      <w:r>
        <w:rPr>
          <w:rFonts w:hint="eastAsia"/>
          <w:b w:val="0"/>
          <w:sz w:val="21"/>
          <w:lang w:val="en-US" w:eastAsia="zh-CN"/>
        </w:rPr>
        <w:t>5</w:t>
      </w:r>
      <w:r>
        <w:rPr>
          <w:rFonts w:ascii="宋体" w:hAnsi="宋体" w:eastAsia="宋体"/>
          <w:b w:val="0"/>
          <w:sz w:val="21"/>
        </w:rPr>
        <w:t xml:space="preserve">  数字支付关系画布、关系箭头与时间节点</w:t>
      </w:r>
    </w:p>
    <w:p w14:paraId="3DA5BF5D">
      <w:pPr>
        <w:keepNext/>
        <w:widowControl/>
        <w:spacing w:before="100" w:after="0" w:line="360" w:lineRule="auto"/>
      </w:pPr>
      <w:r>
        <w:rPr>
          <w:rFonts w:ascii="宋体" w:hAnsi="宋体" w:eastAsia="宋体"/>
          <w:b/>
          <w:sz w:val="24"/>
        </w:rPr>
        <w:t>（</w:t>
      </w:r>
      <w:r>
        <w:rPr>
          <w:rFonts w:hint="eastAsia"/>
          <w:b/>
          <w:sz w:val="24"/>
          <w:lang w:val="en-US" w:eastAsia="zh-CN"/>
        </w:rPr>
        <w:t>七</w:t>
      </w:r>
      <w:r>
        <w:rPr>
          <w:rFonts w:ascii="宋体" w:hAnsi="宋体" w:eastAsia="宋体"/>
          <w:b/>
          <w:sz w:val="24"/>
        </w:rPr>
        <w:t>）以项目改进和知识诊断形成连续评价证据</w:t>
      </w:r>
    </w:p>
    <w:p w14:paraId="44B188BC">
      <w:pPr>
        <w:widowControl/>
        <w:spacing w:before="0" w:after="0" w:line="360" w:lineRule="auto"/>
        <w:ind w:firstLine="420"/>
        <w:jc w:val="both"/>
        <w:rPr>
          <w:rFonts w:ascii="宋体" w:hAnsi="宋体" w:eastAsia="宋体"/>
          <w:b w:val="0"/>
          <w:sz w:val="21"/>
        </w:rPr>
      </w:pPr>
      <w:r>
        <w:rPr>
          <w:rFonts w:hint="eastAsia"/>
          <w:b w:val="0"/>
          <w:sz w:val="21"/>
          <w:lang w:val="en-US" w:eastAsia="zh-CN"/>
        </w:rPr>
        <w:t>通过</w:t>
      </w:r>
      <w:r>
        <w:rPr>
          <w:rFonts w:ascii="宋体" w:hAnsi="宋体" w:eastAsia="宋体"/>
          <w:b w:val="0"/>
          <w:sz w:val="21"/>
        </w:rPr>
        <w:t>管理会计项目</w:t>
      </w:r>
      <w:r>
        <w:rPr>
          <w:rFonts w:hint="eastAsia"/>
          <w:b w:val="0"/>
          <w:sz w:val="21"/>
          <w:lang w:val="en-US" w:eastAsia="zh-CN"/>
        </w:rPr>
        <w:t>实训</w:t>
      </w:r>
      <w:r>
        <w:rPr>
          <w:rFonts w:ascii="宋体" w:hAnsi="宋体" w:eastAsia="宋体"/>
          <w:b w:val="0"/>
          <w:sz w:val="21"/>
        </w:rPr>
        <w:t>组织为“首次判断—规则反馈—应用改进”，首次方案与改进方案并列保留，如图</w:t>
      </w:r>
      <w:r>
        <w:rPr>
          <w:rFonts w:hint="eastAsia"/>
          <w:b w:val="0"/>
          <w:sz w:val="21"/>
          <w:lang w:val="en-US" w:eastAsia="zh-CN"/>
        </w:rPr>
        <w:t>16</w:t>
      </w:r>
      <w:r>
        <w:rPr>
          <w:rFonts w:ascii="宋体" w:hAnsi="宋体" w:eastAsia="宋体"/>
          <w:b w:val="0"/>
          <w:sz w:val="21"/>
        </w:rPr>
        <w:t>所示。题库采用规则评分并按知识标签生成薄弱点（见图1</w:t>
      </w:r>
      <w:r>
        <w:rPr>
          <w:rFonts w:hint="eastAsia"/>
          <w:b w:val="0"/>
          <w:sz w:val="21"/>
          <w:lang w:val="en-US" w:eastAsia="zh-CN"/>
        </w:rPr>
        <w:t>7</w:t>
      </w:r>
      <w:r>
        <w:rPr>
          <w:rFonts w:ascii="宋体" w:hAnsi="宋体" w:eastAsia="宋体"/>
          <w:b w:val="0"/>
          <w:sz w:val="21"/>
        </w:rPr>
        <w:t>）；教师决策页汇总五环数据卡、薄弱知识点、教学建议和详细轨迹（见图1</w:t>
      </w:r>
      <w:r>
        <w:rPr>
          <w:rFonts w:hint="eastAsia"/>
          <w:b w:val="0"/>
          <w:sz w:val="21"/>
          <w:lang w:val="en-US" w:eastAsia="zh-CN"/>
        </w:rPr>
        <w:t>8</w:t>
      </w:r>
      <w:r>
        <w:rPr>
          <w:rFonts w:ascii="宋体" w:hAnsi="宋体" w:eastAsia="宋体"/>
          <w:b w:val="0"/>
          <w:sz w:val="21"/>
        </w:rPr>
        <w:t>）。</w:t>
      </w:r>
    </w:p>
    <w:p w14:paraId="7CA28277">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820410" cy="2741930"/>
            <wp:effectExtent l="0" t="0" r="6985" b="5080"/>
            <wp:docPr id="34" name="图片 3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片12"/>
                    <pic:cNvPicPr>
                      <a:picLocks noChangeAspect="1"/>
                    </pic:cNvPicPr>
                  </pic:nvPicPr>
                  <pic:blipFill>
                    <a:blip r:embed="rId22"/>
                    <a:stretch>
                      <a:fillRect/>
                    </a:stretch>
                  </pic:blipFill>
                  <pic:spPr>
                    <a:xfrm>
                      <a:off x="0" y="0"/>
                      <a:ext cx="5820410" cy="2741930"/>
                    </a:xfrm>
                    <a:prstGeom prst="rect">
                      <a:avLst/>
                    </a:prstGeom>
                    <a:noFill/>
                    <a:ln>
                      <a:noFill/>
                    </a:ln>
                  </pic:spPr>
                </pic:pic>
              </a:graphicData>
            </a:graphic>
          </wp:inline>
        </w:drawing>
      </w:r>
    </w:p>
    <w:p w14:paraId="7115035E">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6</w:t>
      </w:r>
      <w:r>
        <w:rPr>
          <w:rFonts w:ascii="宋体" w:hAnsi="宋体" w:eastAsia="宋体"/>
          <w:b w:val="0"/>
          <w:sz w:val="21"/>
        </w:rPr>
        <w:t xml:space="preserve">  管理会计项目首次判断、反馈与应用改进</w:t>
      </w:r>
    </w:p>
    <w:p w14:paraId="5EB62CE8">
      <w:pPr>
        <w:widowControl/>
        <w:spacing w:before="0" w:after="0" w:line="360" w:lineRule="auto"/>
        <w:ind w:firstLine="420"/>
        <w:jc w:val="both"/>
        <w:rPr>
          <w:rFonts w:hint="eastAsia" w:ascii="宋体" w:hAnsi="宋体" w:eastAsia="宋体"/>
          <w:b w:val="0"/>
          <w:sz w:val="21"/>
          <w:lang w:eastAsia="zh-CN"/>
        </w:rPr>
      </w:pPr>
      <w:r>
        <w:rPr>
          <w:rFonts w:hint="eastAsia" w:ascii="宋体" w:hAnsi="宋体" w:eastAsia="宋体"/>
          <w:b w:val="0"/>
          <w:sz w:val="21"/>
          <w:lang w:eastAsia="zh-CN"/>
        </w:rPr>
        <w:drawing>
          <wp:inline distT="0" distB="0" distL="114300" distR="114300">
            <wp:extent cx="5725795" cy="3385820"/>
            <wp:effectExtent l="0" t="0" r="8255" b="1270"/>
            <wp:docPr id="35" name="图片 35" descr="图片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13"/>
                    <pic:cNvPicPr>
                      <a:picLocks noChangeAspect="1"/>
                    </pic:cNvPicPr>
                  </pic:nvPicPr>
                  <pic:blipFill>
                    <a:blip r:embed="rId23"/>
                    <a:stretch>
                      <a:fillRect/>
                    </a:stretch>
                  </pic:blipFill>
                  <pic:spPr>
                    <a:xfrm>
                      <a:off x="0" y="0"/>
                      <a:ext cx="5725795" cy="3385820"/>
                    </a:xfrm>
                    <a:prstGeom prst="rect">
                      <a:avLst/>
                    </a:prstGeom>
                    <a:noFill/>
                    <a:ln>
                      <a:noFill/>
                    </a:ln>
                  </pic:spPr>
                </pic:pic>
              </a:graphicData>
            </a:graphic>
          </wp:inline>
        </w:drawing>
      </w:r>
    </w:p>
    <w:p w14:paraId="6B4277E8">
      <w:pPr>
        <w:widowControl/>
        <w:spacing w:before="0" w:after="0" w:line="360" w:lineRule="auto"/>
        <w:ind w:firstLine="420"/>
        <w:jc w:val="center"/>
        <w:rPr>
          <w:rFonts w:ascii="宋体" w:hAnsi="宋体" w:eastAsia="宋体"/>
          <w:b w:val="0"/>
          <w:sz w:val="21"/>
        </w:rPr>
      </w:pPr>
      <w:r>
        <w:rPr>
          <w:rFonts w:ascii="宋体" w:hAnsi="宋体" w:eastAsia="宋体"/>
          <w:b w:val="0"/>
          <w:sz w:val="21"/>
        </w:rPr>
        <w:t>图1</w:t>
      </w:r>
      <w:r>
        <w:rPr>
          <w:rFonts w:hint="eastAsia"/>
          <w:b w:val="0"/>
          <w:sz w:val="21"/>
          <w:lang w:val="en-US" w:eastAsia="zh-CN"/>
        </w:rPr>
        <w:t>7</w:t>
      </w:r>
      <w:r>
        <w:rPr>
          <w:rFonts w:ascii="宋体" w:hAnsi="宋体" w:eastAsia="宋体"/>
          <w:b w:val="0"/>
          <w:sz w:val="21"/>
        </w:rPr>
        <w:t xml:space="preserve">  学生端诊断结果与薄弱知识点</w:t>
      </w:r>
    </w:p>
    <w:p w14:paraId="369C1ED2">
      <w:pPr>
        <w:widowControl/>
        <w:spacing w:before="0" w:after="0" w:line="360" w:lineRule="auto"/>
        <w:ind w:firstLine="420"/>
        <w:jc w:val="center"/>
      </w:pPr>
      <w:r>
        <w:rPr>
          <w:rFonts w:hint="eastAsia" w:ascii="宋体" w:hAnsi="宋体" w:eastAsia="宋体"/>
          <w:b w:val="0"/>
          <w:sz w:val="21"/>
          <w:lang w:eastAsia="zh-CN"/>
        </w:rPr>
        <w:drawing>
          <wp:inline distT="0" distB="0" distL="114300" distR="114300">
            <wp:extent cx="5862320" cy="3763010"/>
            <wp:effectExtent l="0" t="0" r="5080" b="10795"/>
            <wp:docPr id="36" name="图片 36" descr="图片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14"/>
                    <pic:cNvPicPr>
                      <a:picLocks noChangeAspect="1"/>
                    </pic:cNvPicPr>
                  </pic:nvPicPr>
                  <pic:blipFill>
                    <a:blip r:embed="rId24"/>
                    <a:stretch>
                      <a:fillRect/>
                    </a:stretch>
                  </pic:blipFill>
                  <pic:spPr>
                    <a:xfrm>
                      <a:off x="0" y="0"/>
                      <a:ext cx="5862320" cy="3763010"/>
                    </a:xfrm>
                    <a:prstGeom prst="rect">
                      <a:avLst/>
                    </a:prstGeom>
                    <a:noFill/>
                    <a:ln>
                      <a:noFill/>
                    </a:ln>
                  </pic:spPr>
                </pic:pic>
              </a:graphicData>
            </a:graphic>
          </wp:inline>
        </w:drawing>
      </w:r>
      <w:r>
        <w:rPr>
          <w:rFonts w:ascii="宋体" w:hAnsi="宋体" w:eastAsia="宋体"/>
          <w:b w:val="0"/>
          <w:sz w:val="21"/>
        </w:rPr>
        <w:t>图1</w:t>
      </w:r>
      <w:r>
        <w:rPr>
          <w:rFonts w:hint="eastAsia"/>
          <w:b w:val="0"/>
          <w:sz w:val="21"/>
          <w:lang w:val="en-US" w:eastAsia="zh-CN"/>
        </w:rPr>
        <w:t>8</w:t>
      </w:r>
      <w:r>
        <w:rPr>
          <w:rFonts w:ascii="宋体" w:hAnsi="宋体" w:eastAsia="宋体"/>
          <w:b w:val="0"/>
          <w:sz w:val="21"/>
        </w:rPr>
        <w:t xml:space="preserve">  教师端五环教学决策与详细学习轨迹</w:t>
      </w:r>
    </w:p>
    <w:p w14:paraId="0DF306AE">
      <w:pPr>
        <w:keepNext/>
        <w:widowControl/>
        <w:spacing w:before="160" w:after="0" w:line="360" w:lineRule="auto"/>
      </w:pPr>
      <w:r>
        <w:rPr>
          <w:rFonts w:ascii="宋体" w:hAnsi="宋体" w:eastAsia="宋体"/>
          <w:b/>
          <w:sz w:val="28"/>
        </w:rPr>
        <w:t>四、案例应用实践突破</w:t>
      </w:r>
    </w:p>
    <w:p w14:paraId="75827932">
      <w:pPr>
        <w:widowControl/>
        <w:spacing w:before="0" w:after="0" w:line="360" w:lineRule="auto"/>
        <w:ind w:firstLine="420"/>
        <w:jc w:val="both"/>
      </w:pPr>
      <w:r>
        <w:rPr>
          <w:rFonts w:ascii="宋体" w:hAnsi="宋体" w:eastAsia="宋体"/>
          <w:b w:val="0"/>
          <w:sz w:val="21"/>
        </w:rPr>
        <w:t>案例实现了从分散工具到会计学习全程协同的突破。前期初级会计考试和管理会计综合实训分别积累了测评、项目训练与教师统计经验，当前案例通过统一账号、本机数据库和五环机制连接事项认知、数字业务、项目实训、诊断评价和教师复核，减少多平台记录割裂。</w:t>
      </w:r>
    </w:p>
    <w:p w14:paraId="4539B9AC">
      <w:pPr>
        <w:widowControl/>
        <w:spacing w:before="0" w:after="0" w:line="360" w:lineRule="auto"/>
        <w:ind w:firstLine="420"/>
        <w:jc w:val="both"/>
      </w:pPr>
      <w:r>
        <w:rPr>
          <w:rFonts w:ascii="宋体" w:hAnsi="宋体" w:eastAsia="宋体"/>
          <w:b w:val="0"/>
          <w:sz w:val="21"/>
        </w:rPr>
        <w:t>案例实现了从“AI给答案”到“AI支持思考”的突破。学生在AI介入前完成独立判断，规则和大模型依据不同职责提供反馈；错误触发专项模型，训练后返回原题改进，使AI输出本身也成为需要核验的对象，支持学生形成问题表达、专业核验和数据保护意识。</w:t>
      </w:r>
    </w:p>
    <w:p w14:paraId="064AF1E0">
      <w:pPr>
        <w:widowControl/>
        <w:spacing w:before="0" w:after="0" w:line="360" w:lineRule="auto"/>
        <w:ind w:firstLine="420"/>
        <w:jc w:val="both"/>
      </w:pPr>
      <w:r>
        <w:rPr>
          <w:rFonts w:ascii="宋体" w:hAnsi="宋体" w:eastAsia="宋体"/>
          <w:b w:val="0"/>
          <w:sz w:val="21"/>
        </w:rPr>
        <w:t>案例实现了从抽象讲解到多模态可视化实践的突破。聚光灯把复杂页面转化为小步导航；四层模型显化生活语言向会计表达的迁移；3D天平把错误逻辑转化为结构失衡；双主体剧场呈现权利与义务；数字支付画布和时间轴使关系及时点可操作；21点骨架使计算机视觉识别过程可见。</w:t>
      </w:r>
    </w:p>
    <w:p w14:paraId="363F51EE">
      <w:pPr>
        <w:widowControl/>
        <w:spacing w:before="0" w:after="0" w:line="360" w:lineRule="auto"/>
        <w:ind w:firstLine="420"/>
        <w:jc w:val="both"/>
        <w:rPr>
          <w:rFonts w:ascii="宋体" w:hAnsi="宋体" w:eastAsia="宋体"/>
          <w:b w:val="0"/>
          <w:sz w:val="21"/>
        </w:rPr>
      </w:pPr>
      <w:r>
        <w:rPr>
          <w:rFonts w:ascii="宋体" w:hAnsi="宋体" w:eastAsia="宋体"/>
          <w:b w:val="0"/>
          <w:sz w:val="21"/>
        </w:rPr>
        <w:t>案例实现了从结果统计到循证教学决策的突破。首次判断、关系图、计算过程、应用改进、知识标签和教师意见形成连续证据；教师可从五环总览定位薄弱知识点，再进入详细轨迹确认或退回，将数据转化为错题讲评、分层练习和项目任务调整。其价值不在于增加技术数量，而在于建立“学生独立判断—规则与AI反馈—学生应用改进—教师最终复核”的责任链。</w:t>
      </w:r>
    </w:p>
    <w:p w14:paraId="5D41C1A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上述四项突破共同指向一个核心：人工智能进入教学，不是替代教师，而是让教师的判断更有依据；不是替代学生思考，而是让学生的思考更有路径；不是替代规则，而是让规则的执行更加透明。这正是本案例从</w:t>
      </w:r>
      <w:r>
        <w:rPr>
          <w:rFonts w:hint="eastAsia"/>
          <w:b w:val="0"/>
          <w:sz w:val="21"/>
          <w:lang w:eastAsia="zh-CN"/>
        </w:rPr>
        <w:t>“</w:t>
      </w:r>
      <w:r>
        <w:rPr>
          <w:rFonts w:hint="eastAsia" w:ascii="宋体" w:hAnsi="宋体" w:eastAsia="宋体"/>
          <w:b w:val="0"/>
          <w:sz w:val="21"/>
        </w:rPr>
        <w:t>能用AI</w:t>
      </w:r>
      <w:r>
        <w:rPr>
          <w:rFonts w:hint="eastAsia"/>
          <w:b w:val="0"/>
          <w:sz w:val="21"/>
          <w:lang w:eastAsia="zh-CN"/>
        </w:rPr>
        <w:t>”</w:t>
      </w:r>
      <w:r>
        <w:rPr>
          <w:rFonts w:hint="eastAsia" w:ascii="宋体" w:hAnsi="宋体" w:eastAsia="宋体"/>
          <w:b w:val="0"/>
          <w:sz w:val="21"/>
        </w:rPr>
        <w:t>走向</w:t>
      </w:r>
      <w:r>
        <w:rPr>
          <w:rFonts w:hint="eastAsia"/>
          <w:b w:val="0"/>
          <w:sz w:val="21"/>
          <w:lang w:eastAsia="zh-CN"/>
        </w:rPr>
        <w:t>“</w:t>
      </w:r>
      <w:r>
        <w:rPr>
          <w:rFonts w:hint="eastAsia" w:ascii="宋体" w:hAnsi="宋体" w:eastAsia="宋体"/>
          <w:b w:val="0"/>
          <w:sz w:val="21"/>
        </w:rPr>
        <w:t>可信用AI</w:t>
      </w:r>
      <w:r>
        <w:rPr>
          <w:rFonts w:hint="eastAsia"/>
          <w:b w:val="0"/>
          <w:sz w:val="21"/>
          <w:lang w:eastAsia="zh-CN"/>
        </w:rPr>
        <w:t>”</w:t>
      </w:r>
      <w:r>
        <w:rPr>
          <w:rFonts w:hint="eastAsia" w:ascii="宋体" w:hAnsi="宋体" w:eastAsia="宋体"/>
          <w:b w:val="0"/>
          <w:sz w:val="21"/>
        </w:rPr>
        <w:t>的关键跨越</w:t>
      </w:r>
      <w:r>
        <w:rPr>
          <w:rFonts w:ascii="宋体" w:hAnsi="宋体" w:eastAsia="宋体"/>
          <w:b w:val="0"/>
          <w:sz w:val="21"/>
        </w:rPr>
        <w:t>（见图1</w:t>
      </w:r>
      <w:r>
        <w:rPr>
          <w:rFonts w:hint="eastAsia"/>
          <w:b w:val="0"/>
          <w:sz w:val="21"/>
          <w:lang w:val="en-US" w:eastAsia="zh-CN"/>
        </w:rPr>
        <w:t>9</w:t>
      </w:r>
      <w:r>
        <w:rPr>
          <w:rFonts w:ascii="宋体" w:hAnsi="宋体" w:eastAsia="宋体"/>
          <w:b w:val="0"/>
          <w:sz w:val="21"/>
        </w:rPr>
        <w:t>）</w:t>
      </w:r>
      <w:r>
        <w:rPr>
          <w:rFonts w:hint="eastAsia" w:ascii="宋体" w:hAnsi="宋体" w:eastAsia="宋体"/>
          <w:b w:val="0"/>
          <w:sz w:val="21"/>
        </w:rPr>
        <w:t>。</w:t>
      </w:r>
    </w:p>
    <w:p w14:paraId="4C94A8D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drawing>
          <wp:inline distT="0" distB="0" distL="114300" distR="114300">
            <wp:extent cx="5819140" cy="3274695"/>
            <wp:effectExtent l="0" t="0" r="8255" b="5715"/>
            <wp:docPr id="8" name="图片 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pic:cNvPicPr>
                      <a:picLocks noChangeAspect="1"/>
                    </pic:cNvPicPr>
                  </pic:nvPicPr>
                  <pic:blipFill>
                    <a:blip r:embed="rId25"/>
                    <a:stretch>
                      <a:fillRect/>
                    </a:stretch>
                  </pic:blipFill>
                  <pic:spPr>
                    <a:xfrm>
                      <a:off x="0" y="0"/>
                      <a:ext cx="5819140" cy="3274695"/>
                    </a:xfrm>
                    <a:prstGeom prst="rect">
                      <a:avLst/>
                    </a:prstGeom>
                  </pic:spPr>
                </pic:pic>
              </a:graphicData>
            </a:graphic>
          </wp:inline>
        </w:drawing>
      </w:r>
    </w:p>
    <w:p w14:paraId="4099A334">
      <w:pPr>
        <w:widowControl/>
        <w:spacing w:before="0" w:after="0" w:line="360" w:lineRule="auto"/>
        <w:ind w:firstLine="420"/>
        <w:jc w:val="center"/>
        <w:rPr>
          <w:rFonts w:hint="eastAsia" w:ascii="宋体" w:hAnsi="宋体" w:eastAsia="宋体"/>
          <w:b w:val="0"/>
          <w:sz w:val="21"/>
        </w:rPr>
      </w:pPr>
      <w:r>
        <w:rPr>
          <w:rFonts w:ascii="宋体" w:hAnsi="宋体" w:eastAsia="宋体"/>
          <w:b w:val="0"/>
          <w:sz w:val="21"/>
        </w:rPr>
        <w:t>图1</w:t>
      </w:r>
      <w:r>
        <w:rPr>
          <w:rFonts w:hint="eastAsia"/>
          <w:b w:val="0"/>
          <w:sz w:val="21"/>
          <w:lang w:val="en-US" w:eastAsia="zh-CN"/>
        </w:rPr>
        <w:t>9</w:t>
      </w:r>
      <w:r>
        <w:rPr>
          <w:rFonts w:ascii="宋体" w:hAnsi="宋体" w:eastAsia="宋体"/>
          <w:b w:val="0"/>
          <w:sz w:val="21"/>
        </w:rPr>
        <w:t xml:space="preserve">  </w:t>
      </w:r>
      <w:r>
        <w:rPr>
          <w:rFonts w:hint="eastAsia" w:ascii="宋体" w:hAnsi="宋体" w:eastAsia="宋体"/>
          <w:b w:val="0"/>
          <w:sz w:val="21"/>
        </w:rPr>
        <w:t>四大应用实践突破总览图</w:t>
      </w:r>
    </w:p>
    <w:p w14:paraId="1112282D">
      <w:pPr>
        <w:keepNext/>
        <w:widowControl/>
        <w:spacing w:before="160" w:after="0" w:line="360" w:lineRule="auto"/>
      </w:pPr>
      <w:r>
        <w:rPr>
          <w:rFonts w:ascii="宋体" w:hAnsi="宋体" w:eastAsia="宋体"/>
          <w:b/>
          <w:sz w:val="28"/>
        </w:rPr>
        <w:t>五、推广价值及风险</w:t>
      </w:r>
    </w:p>
    <w:p w14:paraId="65D7D73A">
      <w:pPr>
        <w:widowControl/>
        <w:spacing w:before="0" w:after="0" w:line="360" w:lineRule="auto"/>
        <w:ind w:firstLine="420"/>
        <w:jc w:val="both"/>
        <w:rPr>
          <w:rFonts w:ascii="宋体" w:hAnsi="宋体" w:eastAsia="宋体"/>
          <w:b w:val="0"/>
          <w:sz w:val="21"/>
        </w:rPr>
      </w:pPr>
      <w:r>
        <w:rPr>
          <w:rFonts w:ascii="宋体" w:hAnsi="宋体" w:eastAsia="宋体"/>
        </w:rPr>
        <w:t>推广价值方面，</w:t>
      </w:r>
      <w:r>
        <w:rPr>
          <w:rFonts w:hint="eastAsia" w:ascii="宋体" w:hAnsi="宋体" w:eastAsia="宋体"/>
          <w:b w:val="0"/>
          <w:sz w:val="21"/>
        </w:rPr>
        <w:t>本案例</w:t>
      </w:r>
      <w:r>
        <w:rPr>
          <w:rFonts w:ascii="宋体" w:hAnsi="宋体" w:eastAsia="宋体"/>
        </w:rPr>
        <w:t>坚持小切口、深挖掘，</w:t>
      </w:r>
      <w:r>
        <w:rPr>
          <w:rFonts w:hint="eastAsia" w:ascii="宋体" w:hAnsi="宋体" w:eastAsia="宋体"/>
          <w:b w:val="0"/>
          <w:sz w:val="21"/>
        </w:rPr>
        <w:t>依托模块化任务体系、统一数据结构与可配置规则库，面向石家庄邮电职业技术学院全校财经</w:t>
      </w:r>
      <w:r>
        <w:rPr>
          <w:rFonts w:hint="eastAsia"/>
          <w:b w:val="0"/>
          <w:sz w:val="21"/>
          <w:lang w:val="en-US" w:eastAsia="zh-CN"/>
        </w:rPr>
        <w:t>商贸</w:t>
      </w:r>
      <w:r>
        <w:rPr>
          <w:rFonts w:hint="eastAsia" w:ascii="宋体" w:hAnsi="宋体" w:eastAsia="宋体"/>
          <w:b w:val="0"/>
          <w:sz w:val="21"/>
        </w:rPr>
        <w:t>类教学场景提供可复用的智能教学范式。学校教师可根据课程培养目标，灵活选用五环教学流程，可全面适配</w:t>
      </w:r>
      <w:r>
        <w:rPr>
          <w:rFonts w:hint="eastAsia"/>
          <w:b w:val="0"/>
          <w:sz w:val="21"/>
          <w:lang w:val="en-US" w:eastAsia="zh-CN"/>
        </w:rPr>
        <w:t>大数据与会计、财富管理、金融服务与管理等专业核心</w:t>
      </w:r>
      <w:r>
        <w:rPr>
          <w:rFonts w:hint="eastAsia" w:ascii="宋体" w:hAnsi="宋体" w:eastAsia="宋体"/>
          <w:b w:val="0"/>
          <w:sz w:val="21"/>
        </w:rPr>
        <w:t>课程</w:t>
      </w:r>
      <w:r>
        <w:rPr>
          <w:rFonts w:hint="eastAsia"/>
          <w:b w:val="0"/>
          <w:sz w:val="21"/>
          <w:lang w:eastAsia="zh-CN"/>
        </w:rPr>
        <w:t>，</w:t>
      </w:r>
      <w:r>
        <w:rPr>
          <w:rFonts w:hint="eastAsia"/>
          <w:b w:val="0"/>
          <w:sz w:val="21"/>
          <w:lang w:val="en-US" w:eastAsia="zh-CN"/>
        </w:rPr>
        <w:t>并</w:t>
      </w:r>
      <w:r>
        <w:rPr>
          <w:rFonts w:hint="eastAsia" w:ascii="宋体" w:hAnsi="宋体" w:eastAsia="宋体"/>
          <w:b w:val="0"/>
          <w:sz w:val="21"/>
        </w:rPr>
        <w:t>可通过替换教学情境、实训项目与知识标签，快速迁移至各类实训教学场景，通用性、适配性强。依托本地运行架构、轻量化数据库、演示账号、任务模板与模拟实训模式，大幅降低全校范围内的部署与应用门槛，教师既可完整落地整套五环教学模式，也可独立使用项目推演、智能实训、诊断评价等单项功能，适配多样化课堂教学需求。</w:t>
      </w:r>
    </w:p>
    <w:p w14:paraId="15D8B84F">
      <w:pPr>
        <w:widowControl/>
        <w:spacing w:before="0" w:after="0" w:line="360" w:lineRule="auto"/>
        <w:ind w:firstLine="420"/>
        <w:jc w:val="both"/>
      </w:pPr>
      <w:r>
        <w:rPr>
          <w:rFonts w:ascii="宋体" w:hAnsi="宋体" w:eastAsia="宋体"/>
          <w:b w:val="0"/>
          <w:sz w:val="21"/>
        </w:rPr>
        <w:t>主要风险包括模型幻觉、规则覆盖不足、个人与企业数据泄露、摄像头权限、外部接口依赖、无障碍差异和题库版权。案例采用规则优先与来源核验、低置信度转人工、教师最终复核、本地脱敏存储、真实／模糊／模拟记录等价、摄像头本地处理、按钮备选、离线回退和自编示范题库降低风险。</w:t>
      </w:r>
    </w:p>
    <w:p w14:paraId="70071A43">
      <w:pPr>
        <w:keepNext/>
        <w:widowControl/>
        <w:spacing w:before="160" w:after="0" w:line="360" w:lineRule="auto"/>
      </w:pPr>
      <w:r>
        <w:rPr>
          <w:rFonts w:ascii="宋体" w:hAnsi="宋体" w:eastAsia="宋体"/>
          <w:b/>
          <w:sz w:val="28"/>
        </w:rPr>
        <w:t>六、其他相关情况</w:t>
      </w:r>
    </w:p>
    <w:p w14:paraId="2DC65823">
      <w:pPr>
        <w:keepNext/>
        <w:widowControl/>
        <w:spacing w:before="100" w:after="0" w:line="360" w:lineRule="auto"/>
        <w:rPr>
          <w:rFonts w:hint="eastAsia" w:ascii="宋体" w:hAnsi="宋体" w:eastAsia="宋体"/>
          <w:b/>
          <w:sz w:val="24"/>
        </w:rPr>
      </w:pPr>
      <w:r>
        <w:rPr>
          <w:rFonts w:hint="eastAsia" w:ascii="宋体" w:hAnsi="宋体" w:eastAsia="宋体"/>
          <w:b/>
          <w:sz w:val="24"/>
        </w:rPr>
        <w:t>（一）案例应用效果</w:t>
      </w:r>
    </w:p>
    <w:p w14:paraId="0CF44966">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本案例源于真实教学任务。202</w:t>
      </w:r>
      <w:r>
        <w:rPr>
          <w:rFonts w:hint="eastAsia"/>
          <w:b w:val="0"/>
          <w:sz w:val="21"/>
          <w:lang w:val="en-US" w:eastAsia="zh-CN"/>
        </w:rPr>
        <w:t>6</w:t>
      </w:r>
      <w:r>
        <w:rPr>
          <w:rFonts w:hint="eastAsia" w:ascii="宋体" w:hAnsi="宋体" w:eastAsia="宋体"/>
          <w:b w:val="0"/>
          <w:sz w:val="21"/>
        </w:rPr>
        <w:t>年</w:t>
      </w:r>
      <w:r>
        <w:rPr>
          <w:rFonts w:hint="eastAsia"/>
          <w:b w:val="0"/>
          <w:sz w:val="21"/>
          <w:lang w:val="en-US" w:eastAsia="zh-CN"/>
        </w:rPr>
        <w:t>3月</w:t>
      </w:r>
      <w:r>
        <w:rPr>
          <w:rFonts w:hint="eastAsia" w:ascii="宋体" w:hAnsi="宋体" w:eastAsia="宋体"/>
          <w:b w:val="0"/>
          <w:sz w:val="21"/>
        </w:rPr>
        <w:t>，</w:t>
      </w:r>
      <w:bookmarkStart w:id="0" w:name="_GoBack"/>
      <w:bookmarkEnd w:id="0"/>
      <w:r>
        <w:rPr>
          <w:rFonts w:hint="eastAsia" w:ascii="宋体" w:hAnsi="宋体" w:eastAsia="宋体"/>
          <w:b w:val="0"/>
          <w:sz w:val="21"/>
        </w:rPr>
        <w:t>教师通过企业微信向学生布置生活经济事项观察作业，引导学生从日常收支中记录经济事项并判断会计要素与会计等式关系，共收到67份有效作业。教学实践表明，生活事项可以成为高职会计学习的有效入口，但原有方式只能提交最终结果，无法连续呈现学生辨析主体、推演关系、接受反馈和修正判断的完整过程。这一发现直接推动了本案例</w:t>
      </w:r>
      <w:r>
        <w:rPr>
          <w:rFonts w:hint="eastAsia"/>
          <w:b w:val="0"/>
          <w:sz w:val="21"/>
          <w:lang w:eastAsia="zh-CN"/>
        </w:rPr>
        <w:t>“</w:t>
      </w:r>
      <w:r>
        <w:rPr>
          <w:rFonts w:hint="eastAsia" w:ascii="宋体" w:hAnsi="宋体" w:eastAsia="宋体"/>
          <w:b w:val="0"/>
          <w:sz w:val="21"/>
        </w:rPr>
        <w:t>辨·演·训·评·导</w:t>
      </w:r>
      <w:r>
        <w:rPr>
          <w:rFonts w:hint="eastAsia"/>
          <w:b w:val="0"/>
          <w:sz w:val="21"/>
          <w:lang w:eastAsia="zh-CN"/>
        </w:rPr>
        <w:t>”</w:t>
      </w:r>
      <w:r>
        <w:rPr>
          <w:rFonts w:hint="eastAsia" w:ascii="宋体" w:hAnsi="宋体" w:eastAsia="宋体"/>
          <w:b w:val="0"/>
          <w:sz w:val="21"/>
        </w:rPr>
        <w:t>五环应用场景的设计与开发。</w:t>
      </w:r>
    </w:p>
    <w:p w14:paraId="1A8723FE">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前期初级会计数字化测试涉及3个班级、107名学生和108条提交记录，验证了过程性数据采集与诊断评价的技术可行性。《管理会计综合实训》原平台数据清洗后初步识别30条正式学习记录，为本案例中"训"环的项目设计提供了任务来源和改进依据。</w:t>
      </w:r>
    </w:p>
    <w:p w14:paraId="7ACEDE54">
      <w:pPr>
        <w:keepNext/>
        <w:widowControl/>
        <w:spacing w:before="100" w:after="0" w:line="360" w:lineRule="auto"/>
        <w:rPr>
          <w:rFonts w:hint="eastAsia" w:ascii="宋体" w:hAnsi="宋体" w:eastAsia="宋体"/>
          <w:b/>
          <w:sz w:val="24"/>
        </w:rPr>
      </w:pPr>
      <w:r>
        <w:rPr>
          <w:rFonts w:hint="eastAsia" w:ascii="宋体" w:hAnsi="宋体" w:eastAsia="宋体"/>
          <w:b/>
          <w:sz w:val="24"/>
        </w:rPr>
        <w:t>（二）用户评价</w:t>
      </w:r>
    </w:p>
    <w:p w14:paraId="715695C4">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2026年7月至8月，案例负责人在企业开展暑期教师企业实践，运用本案例中的知识库构建与AI辅助检索技术路线，为企业搭建财税法律法规知识库，分类整理最新财税政策、税收法规与办税规范，完善企业数据管理规范。该知识库已实际应用于企业日常财税服务工作中，企业反馈其结构清晰、分类合理、更新及时，有效提升了查阅财税政策的效率。企业已出具书面评价证明两份，分别从知识库应用效果和知识管理诊断评价两个角度对案例技术路线的应用情况进行了评价（见附件）。</w:t>
      </w:r>
    </w:p>
    <w:p w14:paraId="2BC8BD5A">
      <w:pPr>
        <w:keepNext/>
        <w:widowControl/>
        <w:spacing w:before="100" w:after="0" w:line="360" w:lineRule="auto"/>
        <w:rPr>
          <w:rFonts w:hint="eastAsia" w:ascii="宋体" w:hAnsi="宋体" w:eastAsia="宋体"/>
          <w:b/>
          <w:sz w:val="24"/>
        </w:rPr>
      </w:pPr>
      <w:r>
        <w:rPr>
          <w:rFonts w:hint="eastAsia" w:ascii="宋体" w:hAnsi="宋体" w:eastAsia="宋体"/>
          <w:b/>
          <w:sz w:val="24"/>
        </w:rPr>
        <w:t>（三）平台完成情况</w:t>
      </w:r>
    </w:p>
    <w:p w14:paraId="11B9BB91">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当前平台已完成源码构建、Windows本地运行、学生与教师角色流程、五环数据写入、离线模式及综合视频走查。平台使用Next.js、React、Prisma和SQLite，DeepSeek兼容接口用于自然语言辅助，离线Mock模式保障断网流程，确定性知识、关系方向和计算结果由规则校验。手势识别在浏览器本地提取21个手部关键点，摄像头视频不上传不保存。管理会计项目和诊断测评中的预置记录均明确标注"匿名演示数据"。</w:t>
      </w:r>
    </w:p>
    <w:p w14:paraId="18CBCB28">
      <w:pPr>
        <w:keepNext/>
        <w:widowControl/>
        <w:spacing w:before="100" w:after="0" w:line="360" w:lineRule="auto"/>
        <w:rPr>
          <w:rFonts w:hint="eastAsia" w:ascii="宋体" w:hAnsi="宋体" w:eastAsia="宋体"/>
          <w:b/>
          <w:sz w:val="24"/>
        </w:rPr>
      </w:pPr>
      <w:r>
        <w:rPr>
          <w:rFonts w:hint="eastAsia" w:ascii="宋体" w:hAnsi="宋体" w:eastAsia="宋体"/>
          <w:b/>
          <w:sz w:val="24"/>
        </w:rPr>
        <w:t>（四）后续计划</w:t>
      </w:r>
    </w:p>
    <w:p w14:paraId="3F4DECA9">
      <w:pPr>
        <w:widowControl/>
        <w:spacing w:before="0" w:after="0" w:line="360" w:lineRule="auto"/>
        <w:ind w:firstLine="420"/>
        <w:jc w:val="both"/>
        <w:rPr>
          <w:rFonts w:hint="eastAsia" w:ascii="宋体" w:hAnsi="宋体" w:eastAsia="宋体"/>
          <w:b w:val="0"/>
          <w:sz w:val="21"/>
        </w:rPr>
      </w:pPr>
      <w:r>
        <w:rPr>
          <w:rFonts w:hint="eastAsia" w:ascii="宋体" w:hAnsi="宋体" w:eastAsia="宋体"/>
          <w:b w:val="0"/>
          <w:sz w:val="21"/>
        </w:rPr>
        <w:t>正式课堂应用后，将依据学生使用轨迹、教师复核记录、同行走查意见和课程评价持续校准任务、规则与知识标签。案例将继续推进课程任务与专业智能体协同，使人工智能进入学生判断、应用改进和教师决策的全过程。</w:t>
      </w:r>
    </w:p>
    <w:sectPr>
      <w:footerReference r:id="rId5" w:type="default"/>
      <w:pgSz w:w="12240" w:h="15840"/>
      <w:pgMar w:top="1417" w:right="1474"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ＭＳ 明朝">
    <w:altName w:val="语文格子"/>
    <w:panose1 w:val="00000000000000000000"/>
    <w:charset w:val="00"/>
    <w:family w:val="auto"/>
    <w:pitch w:val="default"/>
    <w:sig w:usb0="00000000" w:usb1="00000000" w:usb2="00000000" w:usb3="00000000" w:csb0="00000000" w:csb1="00000000"/>
  </w:font>
  <w:font w:name="语文格子">
    <w:panose1 w:val="02000500000000000000"/>
    <w:charset w:val="00"/>
    <w:family w:val="auto"/>
    <w:pitch w:val="default"/>
    <w:sig w:usb0="00000023" w:usb1="00002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04775">
    <w:pPr>
      <w:pStyle w:val="24"/>
      <w:jc w:val="center"/>
    </w:pPr>
    <w:r>
      <w:rPr>
        <w:rFonts w:ascii="宋体" w:hAnsi="宋体" w:eastAsia="宋体"/>
        <w:b w:val="0"/>
        <w:sz w:val="18"/>
      </w:rPr>
      <w:t xml:space="preserve">— </w:t>
    </w:r>
    <w:r>
      <w:fldChar w:fldCharType="begin"/>
    </w:r>
    <w:r>
      <w:instrText xml:space="preserve">PAGE</w:instrText>
    </w:r>
    <w:r>
      <w:fldChar w:fldCharType="separate"/>
    </w:r>
    <w:r>
      <w:fldChar w:fldCharType="end"/>
    </w:r>
    <w:r>
      <w:rPr>
        <w:rFonts w:ascii="宋体" w:hAnsi="宋体" w:eastAsia="宋体"/>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7357E"/>
    <w:rsid w:val="00AA1D8D"/>
    <w:rsid w:val="00B47730"/>
    <w:rsid w:val="00CB0664"/>
    <w:rsid w:val="00FC693F"/>
    <w:rsid w:val="04E91277"/>
    <w:rsid w:val="0A947A5C"/>
    <w:rsid w:val="13715B4E"/>
    <w:rsid w:val="1CCC5AEE"/>
    <w:rsid w:val="1E7846AB"/>
    <w:rsid w:val="207243E0"/>
    <w:rsid w:val="2E595DFC"/>
    <w:rsid w:val="2FBA7A69"/>
    <w:rsid w:val="3CB336F9"/>
    <w:rsid w:val="446612A5"/>
    <w:rsid w:val="52F81F7A"/>
    <w:rsid w:val="617630A8"/>
    <w:rsid w:val="62F71160"/>
    <w:rsid w:val="64AD4B99"/>
    <w:rsid w:val="65073EAB"/>
    <w:rsid w:val="66C768F4"/>
    <w:rsid w:val="74AF74D1"/>
    <w:rsid w:val="79BB0FA9"/>
    <w:rsid w:val="7ACB33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imes New Roman"/>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4">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5">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6">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7">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8">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9">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10">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1">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Calibri" w:hAnsi="Calibri" w:eastAsia="MS Gothic" w:cs="Times New Roman"/>
      <w:i/>
      <w:iCs/>
      <w:color w:val="4F81BD"/>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6">
    <w:name w:val="Light Shading Accent 1"/>
    <w:basedOn w:val="33"/>
    <w:qFormat/>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7">
    <w:name w:val="Light Shading Accent 2"/>
    <w:basedOn w:val="33"/>
    <w:qFormat/>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8">
    <w:name w:val="Light Shading Accent 3"/>
    <w:basedOn w:val="33"/>
    <w:qFormat/>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39">
    <w:name w:val="Light Shading Accent 4"/>
    <w:basedOn w:val="33"/>
    <w:qFormat/>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0">
    <w:name w:val="Light Shading Accent 5"/>
    <w:basedOn w:val="33"/>
    <w:qFormat/>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1">
    <w:name w:val="Light Shading Accent 6"/>
    <w:basedOn w:val="33"/>
    <w:qFormat/>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1">
    <w:name w:val="Medium List 1 Accent 1"/>
    <w:basedOn w:val="33"/>
    <w:qFormat/>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2">
    <w:name w:val="Medium List 1 Accent 2"/>
    <w:basedOn w:val="33"/>
    <w:qFormat/>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3">
    <w:name w:val="Medium List 1 Accent 3"/>
    <w:basedOn w:val="33"/>
    <w:qFormat/>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4">
    <w:name w:val="Medium List 1 Accent 4"/>
    <w:basedOn w:val="33"/>
    <w:qFormat/>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5">
    <w:name w:val="Medium List 1 Accent 5"/>
    <w:basedOn w:val="33"/>
    <w:qFormat/>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6">
    <w:name w:val="Medium List 1 Accent 6"/>
    <w:basedOn w:val="33"/>
    <w:qFormat/>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7">
    <w:name w:val="Medium List 2"/>
    <w:basedOn w:val="33"/>
    <w:qFormat/>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33"/>
    <w:qFormat/>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2">
    <w:name w:val="Medium Grid 2 Accent 1"/>
    <w:basedOn w:val="33"/>
    <w:qFormat/>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3">
    <w:name w:val="Medium Grid 2 Accent 2"/>
    <w:basedOn w:val="33"/>
    <w:qFormat/>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4">
    <w:name w:val="Medium Grid 2 Accent 3"/>
    <w:basedOn w:val="33"/>
    <w:qFormat/>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5">
    <w:name w:val="Medium Grid 2 Accent 4"/>
    <w:basedOn w:val="33"/>
    <w:qFormat/>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6">
    <w:name w:val="Medium Grid 2 Accent 5"/>
    <w:basedOn w:val="33"/>
    <w:qFormat/>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7">
    <w:name w:val="Medium Grid 2 Accent 6"/>
    <w:basedOn w:val="33"/>
    <w:qFormat/>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5">
    <w:name w:val="Dark List"/>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6">
    <w:name w:val="Dark List Accent 1"/>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7">
    <w:name w:val="Dark List Accent 2"/>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8">
    <w:name w:val="Dark List Accent 3"/>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09">
    <w:name w:val="Dark List Accent 4"/>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0">
    <w:name w:val="Dark List Accent 5"/>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1">
    <w:name w:val="Dark List Accent 6"/>
    <w:basedOn w:val="33"/>
    <w:qFormat/>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2">
    <w:name w:val="Colorful Shading"/>
    <w:basedOn w:val="33"/>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113">
    <w:name w:val="Colorful Shading Accent 1"/>
    <w:basedOn w:val="33"/>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4">
    <w:name w:val="Colorful Shading Accent 2"/>
    <w:basedOn w:val="33"/>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5">
    <w:name w:val="Colorful Shading Accent 3"/>
    <w:basedOn w:val="33"/>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6">
    <w:name w:val="Colorful Shading Accent 4"/>
    <w:basedOn w:val="33"/>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7">
    <w:name w:val="Colorful Shading Accent 5"/>
    <w:basedOn w:val="33"/>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8">
    <w:name w:val="Colorful Shading Accent 6"/>
    <w:basedOn w:val="33"/>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9">
    <w:name w:val="Colorful List"/>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0">
    <w:name w:val="Colorful List Accent 1"/>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1">
    <w:name w:val="Colorful List Accent 2"/>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2">
    <w:name w:val="Colorful List Accent 3"/>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3">
    <w:name w:val="Colorful List Accent 4"/>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4">
    <w:name w:val="Colorful List Accent 5"/>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5">
    <w:name w:val="Colorful List Accent 6"/>
    <w:basedOn w:val="33"/>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6">
    <w:name w:val="Colorful Grid"/>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7">
    <w:name w:val="Colorful Grid Accent 1"/>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8">
    <w:name w:val="Colorful Grid Accent 2"/>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29">
    <w:name w:val="Colorful Grid Accent 3"/>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0">
    <w:name w:val="Colorful Grid Accent 4"/>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1">
    <w:name w:val="Colorful Grid Accent 5"/>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2">
    <w:name w:val="Colorful Grid Accent 6"/>
    <w:basedOn w:val="33"/>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33"/>
    <w:link w:val="3"/>
    <w:qFormat/>
    <w:uiPriority w:val="9"/>
    <w:rPr>
      <w:rFonts w:ascii="Calibri" w:hAnsi="Calibri" w:eastAsia="MS Gothic" w:cs="Times New Roman"/>
      <w:b/>
      <w:bCs/>
      <w:color w:val="366091"/>
      <w:sz w:val="28"/>
      <w:szCs w:val="28"/>
    </w:rPr>
  </w:style>
  <w:style w:type="character" w:customStyle="1" w:styleId="140">
    <w:name w:val="Heading 2 Char"/>
    <w:basedOn w:val="133"/>
    <w:link w:val="4"/>
    <w:qFormat/>
    <w:uiPriority w:val="9"/>
    <w:rPr>
      <w:rFonts w:ascii="Calibri" w:hAnsi="Calibri" w:eastAsia="MS Gothic" w:cs="Times New Roman"/>
      <w:b/>
      <w:bCs/>
      <w:color w:val="4F81BD"/>
      <w:sz w:val="26"/>
      <w:szCs w:val="26"/>
    </w:rPr>
  </w:style>
  <w:style w:type="character" w:customStyle="1" w:styleId="141">
    <w:name w:val="Heading 3 Char"/>
    <w:basedOn w:val="133"/>
    <w:link w:val="5"/>
    <w:qFormat/>
    <w:uiPriority w:val="9"/>
    <w:rPr>
      <w:rFonts w:ascii="Calibri" w:hAnsi="Calibri" w:eastAsia="MS Gothic" w:cs="Times New Roman"/>
      <w:b/>
      <w:bCs/>
      <w:color w:val="4F81BD"/>
    </w:rPr>
  </w:style>
  <w:style w:type="character" w:customStyle="1" w:styleId="142">
    <w:name w:val="Title Char"/>
    <w:basedOn w:val="133"/>
    <w:link w:val="32"/>
    <w:qFormat/>
    <w:uiPriority w:val="10"/>
    <w:rPr>
      <w:rFonts w:ascii="Calibri" w:hAnsi="Calibri" w:eastAsia="MS Gothic" w:cs="Times New Roman"/>
      <w:color w:val="17365D"/>
      <w:spacing w:val="5"/>
      <w:kern w:val="28"/>
      <w:sz w:val="52"/>
      <w:szCs w:val="52"/>
    </w:rPr>
  </w:style>
  <w:style w:type="character" w:customStyle="1" w:styleId="143">
    <w:name w:val="Subtitle Char"/>
    <w:basedOn w:val="133"/>
    <w:link w:val="26"/>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33"/>
    <w:link w:val="149"/>
    <w:qFormat/>
    <w:uiPriority w:val="29"/>
    <w:rPr>
      <w:i/>
      <w:iCs/>
      <w:color w:val="000000"/>
    </w:rPr>
  </w:style>
  <w:style w:type="character" w:customStyle="1" w:styleId="151">
    <w:name w:val="Heading 4 Char"/>
    <w:basedOn w:val="133"/>
    <w:link w:val="6"/>
    <w:semiHidden/>
    <w:qFormat/>
    <w:uiPriority w:val="9"/>
    <w:rPr>
      <w:rFonts w:ascii="Calibri" w:hAnsi="Calibri" w:eastAsia="MS Gothic" w:cs="Times New Roman"/>
      <w:b/>
      <w:bCs/>
      <w:i/>
      <w:iCs/>
      <w:color w:val="4F81BD"/>
    </w:rPr>
  </w:style>
  <w:style w:type="character" w:customStyle="1" w:styleId="152">
    <w:name w:val="Heading 5 Char"/>
    <w:basedOn w:val="133"/>
    <w:link w:val="7"/>
    <w:semiHidden/>
    <w:qFormat/>
    <w:uiPriority w:val="9"/>
    <w:rPr>
      <w:rFonts w:ascii="Calibri" w:hAnsi="Calibri" w:eastAsia="MS Gothic" w:cs="Times New Roman"/>
      <w:color w:val="243F61"/>
    </w:rPr>
  </w:style>
  <w:style w:type="character" w:customStyle="1" w:styleId="153">
    <w:name w:val="Heading 6 Char"/>
    <w:basedOn w:val="133"/>
    <w:link w:val="8"/>
    <w:semiHidden/>
    <w:qFormat/>
    <w:uiPriority w:val="9"/>
    <w:rPr>
      <w:rFonts w:ascii="Calibri" w:hAnsi="Calibri" w:eastAsia="MS Gothic" w:cs="Times New Roman"/>
      <w:i/>
      <w:iCs/>
      <w:color w:val="243F61"/>
    </w:rPr>
  </w:style>
  <w:style w:type="character" w:customStyle="1" w:styleId="154">
    <w:name w:val="Heading 7 Char"/>
    <w:basedOn w:val="133"/>
    <w:link w:val="9"/>
    <w:semiHidden/>
    <w:qFormat/>
    <w:uiPriority w:val="9"/>
    <w:rPr>
      <w:rFonts w:ascii="Calibri" w:hAnsi="Calibri" w:eastAsia="MS Gothic" w:cs="Times New Roman"/>
      <w:i/>
      <w:iCs/>
      <w:color w:val="3F3F3F"/>
    </w:rPr>
  </w:style>
  <w:style w:type="character" w:customStyle="1" w:styleId="155">
    <w:name w:val="Heading 8 Char"/>
    <w:basedOn w:val="133"/>
    <w:link w:val="10"/>
    <w:semiHidden/>
    <w:qFormat/>
    <w:uiPriority w:val="9"/>
    <w:rPr>
      <w:rFonts w:ascii="Calibri" w:hAnsi="Calibri" w:eastAsia="MS Gothic" w:cs="Times New Roman"/>
      <w:color w:val="4F81BD"/>
      <w:sz w:val="20"/>
      <w:szCs w:val="20"/>
    </w:rPr>
  </w:style>
  <w:style w:type="character" w:customStyle="1" w:styleId="156">
    <w:name w:val="Heading 9 Char"/>
    <w:basedOn w:val="133"/>
    <w:link w:val="11"/>
    <w:semiHidden/>
    <w:qFormat/>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33"/>
    <w:link w:val="157"/>
    <w:qFormat/>
    <w:uiPriority w:val="30"/>
    <w:rPr>
      <w:b/>
      <w:bCs/>
      <w:i/>
      <w:iCs/>
      <w:color w:val="4F81BD"/>
    </w:rPr>
  </w:style>
  <w:style w:type="character" w:customStyle="1" w:styleId="159">
    <w:name w:val="Subtle Emphasis"/>
    <w:basedOn w:val="133"/>
    <w:qFormat/>
    <w:uiPriority w:val="19"/>
    <w:rPr>
      <w:i/>
      <w:iCs/>
      <w:color w:val="7F7F7F"/>
    </w:rPr>
  </w:style>
  <w:style w:type="character" w:customStyle="1" w:styleId="160">
    <w:name w:val="Intense Emphasis"/>
    <w:basedOn w:val="133"/>
    <w:qFormat/>
    <w:uiPriority w:val="21"/>
    <w:rPr>
      <w:b/>
      <w:bCs/>
      <w:i/>
      <w:iCs/>
      <w:color w:val="4F81BD"/>
    </w:rPr>
  </w:style>
  <w:style w:type="character" w:customStyle="1" w:styleId="161">
    <w:name w:val="Subtle Reference"/>
    <w:basedOn w:val="133"/>
    <w:qFormat/>
    <w:uiPriority w:val="31"/>
    <w:rPr>
      <w:smallCaps/>
      <w:color w:val="C0504D"/>
      <w:u w:val="single"/>
    </w:rPr>
  </w:style>
  <w:style w:type="character" w:customStyle="1" w:styleId="162">
    <w:name w:val="Intense Reference"/>
    <w:basedOn w:val="133"/>
    <w:qFormat/>
    <w:uiPriority w:val="32"/>
    <w:rPr>
      <w:b/>
      <w:bCs/>
      <w:smallCaps/>
      <w:color w:val="C0504D"/>
      <w:spacing w:val="5"/>
      <w:u w:val="single"/>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4401</Words>
  <Characters>4534</Characters>
  <Lines>0</Lines>
  <Paragraphs>0</Paragraphs>
  <TotalTime>17</TotalTime>
  <ScaleCrop>false</ScaleCrop>
  <LinksUpToDate>false</LinksUpToDate>
  <CharactersWithSpaces>4571</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薛维君</cp:lastModifiedBy>
  <cp:lastPrinted>2026-08-13T08:22:00Z</cp:lastPrinted>
  <dcterms:modified xsi:type="dcterms:W3CDTF">2026-08-24T19:43:26Z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076FF381078047EABBEA7D97078E179D_13</vt:lpwstr>
  </property>
</Properties>
</file>