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C07C78">
      <w:pPr>
        <w:pStyle w:val="2"/>
      </w:pPr>
      <w:bookmarkStart w:id="0" w:name="项目7-财务比率分析与智能综合评价"/>
      <w:r>
        <w:rPr>
          <w:rFonts w:ascii="Times New Roman" w:hAnsi="Times New Roman" w:eastAsia="微软雅黑"/>
          <w:sz w:val="24"/>
        </w:rPr>
        <w:t>项目7 财务比率分析与智能综合评价</w:t>
      </w:r>
    </w:p>
    <w:p w14:paraId="5F9DA37C">
      <w:r>
        <w:pict>
          <v:rect id="_x0000_i1025" o:spt="1" style="height:1.5pt;width:0pt;" coordsize="21600,21600" o:hr="t" o:hrstd="t" o:hralign="center">
            <v:path/>
            <v:fill focussize="0,0"/>
            <v:stroke/>
            <v:imagedata o:title=""/>
            <o:lock v:ext="edit"/>
            <w10:wrap type="none"/>
            <w10:anchorlock/>
          </v:rect>
        </w:pict>
      </w:r>
    </w:p>
    <w:p w14:paraId="68311DC1">
      <w:pPr>
        <w:pStyle w:val="4"/>
      </w:pPr>
      <w:bookmarkStart w:id="1" w:name="教学导读"/>
      <w:r>
        <w:rPr>
          <w:rFonts w:ascii="Times New Roman" w:hAnsi="Times New Roman" w:eastAsia="微软雅黑"/>
          <w:sz w:val="24"/>
        </w:rPr>
        <w:t>【教学导读】</w:t>
      </w:r>
    </w:p>
    <w:p w14:paraId="3570BBB4">
      <w:pPr>
        <w:pStyle w:val="23"/>
      </w:pPr>
      <w:r>
        <w:rPr>
          <w:rFonts w:ascii="Times New Roman" w:hAnsi="Times New Roman" w:eastAsia="微软雅黑"/>
          <w:sz w:val="24"/>
        </w:rPr>
        <w:t>项目6解决了“把已发生的事情说清楚”的问题——收入多少、费用多少、利润多少、趋势怎样。但管理层看完之后，往往还有一个追问：“这些数字，说明我们公司的财务状况到底是好还是不好？”</w:t>
      </w:r>
    </w:p>
    <w:p w14:paraId="1CB56C72">
      <w:pPr>
        <w:pStyle w:val="3"/>
      </w:pPr>
      <w:r>
        <w:rPr>
          <w:rFonts w:ascii="Times New Roman" w:hAnsi="Times New Roman" w:eastAsia="微软雅黑"/>
          <w:sz w:val="24"/>
        </w:rPr>
        <w:t>这个问题，描述性分析回答不了。</w:t>
      </w:r>
    </w:p>
    <w:p w14:paraId="072EEA98">
      <w:pPr>
        <w:pStyle w:val="3"/>
      </w:pPr>
      <w:r>
        <w:rPr>
          <w:rFonts w:ascii="Times New Roman" w:hAnsi="Times New Roman" w:eastAsia="微软雅黑"/>
          <w:sz w:val="24"/>
        </w:rPr>
        <w:t>一家企业的利润率是15%，这到底算高还是低？流动比率是1.8，这个数字安全吗？应收账款周转天数从60天变成了75天，是正常波动还是需要警惕的信号？</w:t>
      </w:r>
    </w:p>
    <w:p w14:paraId="75C9E82B">
      <w:pPr>
        <w:pStyle w:val="3"/>
      </w:pPr>
      <w:r>
        <w:rPr>
          <w:rFonts w:ascii="Times New Roman" w:hAnsi="Times New Roman" w:eastAsia="微软雅黑"/>
          <w:sz w:val="24"/>
        </w:rPr>
        <w:t>回答这些问题，需要两样东西：一是财务比率，把绝对金额转化成可以横向对比的相对指标；二是参照系，知道这个比率在什么范围内是正常的。把这两样东西结合起来，才能对企业的财务状况做出有依据的判断。</w:t>
      </w:r>
    </w:p>
    <w:p w14:paraId="18390246">
      <w:pPr>
        <w:pStyle w:val="3"/>
      </w:pPr>
      <w:r>
        <w:rPr>
          <w:rFonts w:ascii="Times New Roman" w:hAnsi="Times New Roman" w:eastAsia="微软雅黑"/>
          <w:sz w:val="24"/>
        </w:rPr>
        <w:t>这就是本项目要做的事：财务比率分析。</w:t>
      </w:r>
    </w:p>
    <w:p w14:paraId="6DD23939">
      <w:pPr>
        <w:pStyle w:val="3"/>
      </w:pPr>
      <w:r>
        <w:rPr>
          <w:rFonts w:ascii="Times New Roman" w:hAnsi="Times New Roman" w:eastAsia="微软雅黑"/>
          <w:sz w:val="24"/>
        </w:rPr>
        <w:t>财务比率分析是财务分析中历史最悠久、也是在实践中用得最多的方法。偿债能力、营运能力、盈利能力，三个维度，覆盖了企业财务健康状况的核心方面。本项目还会介绍杜邦分析——一个把三个维度串联起来、揭示驱动利润背后逻辑的经典分析框架。</w:t>
      </w:r>
    </w:p>
    <w:p w14:paraId="6A46768B">
      <w:pPr>
        <w:pStyle w:val="3"/>
      </w:pPr>
      <w:r>
        <w:rPr>
          <w:rFonts w:ascii="Times New Roman" w:hAnsi="Times New Roman" w:eastAsia="微软雅黑"/>
          <w:sz w:val="24"/>
        </w:rPr>
        <w:t>在智能体建设上，本项目的“财务指标综合评价智能体”比前两个更接近实用工具：它配置了行业参照知识库，用户输入一家企业的财务数据，智能体不只是计算指标，还能给出结合行业参考值的综合判断，甚至支持两家企业之间的横向比较。</w:t>
      </w:r>
    </w:p>
    <w:p w14:paraId="4EAED77D">
      <w:r>
        <w:pict>
          <v:rect id="_x0000_i1026" o:spt="1" style="height:1.5pt;width:0pt;" coordsize="21600,21600" o:hr="t" o:hrstd="t" o:hralign="center">
            <v:path/>
            <v:fill focussize="0,0"/>
            <v:stroke/>
            <v:imagedata o:title=""/>
            <o:lock v:ext="edit"/>
            <w10:wrap type="none"/>
            <w10:anchorlock/>
          </v:rect>
        </w:pict>
      </w:r>
    </w:p>
    <w:p w14:paraId="1361591C">
      <w:pPr>
        <w:pStyle w:val="5"/>
      </w:pPr>
      <w:bookmarkStart w:id="2" w:name="教学导图"/>
      <w:r>
        <w:rPr>
          <w:rFonts w:ascii="Times New Roman" w:hAnsi="Times New Roman" w:eastAsia="微软雅黑"/>
          <w:sz w:val="24"/>
        </w:rPr>
        <w:t>1. 教学导图</w:t>
      </w:r>
    </w:p>
    <w:p w14:paraId="1BFEA9F1">
      <w:pPr>
        <w:pStyle w:val="23"/>
      </w:pPr>
      <w:r>
        <w:rPr>
          <w:rFonts w:ascii="Times New Roman" w:hAnsi="Times New Roman" w:eastAsia="微软雅黑"/>
          <w:sz w:val="24"/>
        </w:rPr>
        <w:t>本项目围绕“财务比率分析与智能综合评价”展开，整体教学导图见图7-1。</w:t>
      </w:r>
    </w:p>
    <w:p w14:paraId="53E06939">
      <w:pPr>
        <w:pStyle w:val="35"/>
      </w:pPr>
      <w:r>
        <w:drawing>
          <wp:inline distT="0" distB="0" distL="114300" distR="114300">
            <wp:extent cx="4800600" cy="1995805"/>
            <wp:effectExtent l="0" t="0" r="0" b="0"/>
            <wp:docPr id="2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mermaid diagram"/>
                    <pic:cNvPicPr>
                      <a:picLocks noChangeAspect="1" noChangeArrowheads="1"/>
                    </pic:cNvPicPr>
                  </pic:nvPicPr>
                  <pic:blipFill>
                    <a:blip r:embed="rId5"/>
                    <a:stretch>
                      <a:fillRect/>
                    </a:stretch>
                  </pic:blipFill>
                  <pic:spPr>
                    <a:xfrm>
                      <a:off x="0" y="0"/>
                      <a:ext cx="4800600" cy="1996167"/>
                    </a:xfrm>
                    <a:prstGeom prst="rect">
                      <a:avLst/>
                    </a:prstGeom>
                    <a:noFill/>
                    <a:ln w="9525">
                      <a:noFill/>
                    </a:ln>
                  </pic:spPr>
                </pic:pic>
              </a:graphicData>
            </a:graphic>
          </wp:inline>
        </w:drawing>
      </w:r>
      <w:bookmarkStart w:id="80" w:name="_GoBack"/>
      <w:bookmarkEnd w:id="80"/>
    </w:p>
    <w:p w14:paraId="01FE0320">
      <w:pPr>
        <w:jc w:val="center"/>
        <w:pStyle w:val="3"/>
      </w:pPr>
      <w:r>
        <w:rPr>
          <w:rFonts w:ascii="Times New Roman" w:hAnsi="Times New Roman" w:eastAsia="微软雅黑"/>
          <w:sz w:val="24"/>
        </w:rPr>
        <w:t>图7-1 项目7教学导图</w:t>
      </w:r>
    </w:p>
    <w:p w14:paraId="64564BDD">
      <w:r>
        <w:pict>
          <v:rect id="_x0000_i1027" o:spt="1" style="height:1.5pt;width:0pt;" coordsize="21600,21600" o:hr="t" o:hrstd="t" o:hralign="center">
            <v:path/>
            <v:fill focussize="0,0"/>
            <v:stroke/>
            <v:imagedata o:title=""/>
            <o:lock v:ext="edit"/>
            <w10:wrap type="none"/>
            <w10:anchorlock/>
          </v:rect>
        </w:pict>
      </w:r>
    </w:p>
    <w:bookmarkEnd w:id="2"/>
    <w:p w14:paraId="3A25081B">
      <w:pPr>
        <w:pStyle w:val="5"/>
      </w:pPr>
      <w:bookmarkStart w:id="3" w:name="教学目标"/>
      <w:r>
        <w:rPr>
          <w:rFonts w:ascii="Times New Roman" w:hAnsi="Times New Roman" w:eastAsia="微软雅黑"/>
          <w:sz w:val="24"/>
        </w:rPr>
        <w:t>2. 教学目标</w:t>
      </w:r>
    </w:p>
    <w:p w14:paraId="523FDD99">
      <w:pPr>
        <w:pStyle w:val="23"/>
      </w:pPr>
      <w:r>
        <w:rPr>
          <w:rFonts w:ascii="Times New Roman" w:hAnsi="Times New Roman" w:eastAsia="微软雅黑"/>
          <w:b/>
          <w:bCs/>
          <w:sz w:val="24"/>
        </w:rPr>
        <w:t>知识目标</w:t>
      </w:r>
    </w:p>
    <w:p w14:paraId="1D762D43">
      <w:pPr>
        <w:pStyle w:val="24"/>
        <w:numPr>
          <w:ilvl w:val="0"/>
          <w:numId w:val="1"/>
        </w:numPr>
      </w:pPr>
      <w:r>
        <w:rPr>
          <w:rFonts w:ascii="Times New Roman" w:hAnsi="Times New Roman" w:eastAsia="微软雅黑"/>
          <w:sz w:val="24"/>
        </w:rPr>
        <w:t>掌握短期和长期偿债能力的核心指标、计算公式和判断标准</w:t>
      </w:r>
    </w:p>
    <w:p w14:paraId="46A70959">
      <w:pPr>
        <w:pStyle w:val="24"/>
        <w:numPr>
          <w:ilvl w:val="0"/>
          <w:numId w:val="1"/>
        </w:numPr>
      </w:pPr>
      <w:r>
        <w:rPr>
          <w:rFonts w:ascii="Times New Roman" w:hAnsi="Times New Roman" w:eastAsia="微软雅黑"/>
          <w:sz w:val="24"/>
        </w:rPr>
        <w:t>掌握应收账款周转率、存货周转率等营运能力指标的含义与计算</w:t>
      </w:r>
    </w:p>
    <w:p w14:paraId="5A448296">
      <w:pPr>
        <w:pStyle w:val="24"/>
        <w:numPr>
          <w:ilvl w:val="0"/>
          <w:numId w:val="1"/>
        </w:numPr>
      </w:pPr>
      <w:r>
        <w:rPr>
          <w:rFonts w:ascii="Times New Roman" w:hAnsi="Times New Roman" w:eastAsia="微软雅黑"/>
          <w:sz w:val="24"/>
        </w:rPr>
        <w:t>掌握毛利率、净利率、ROE、ROA等盈利能力指标</w:t>
      </w:r>
    </w:p>
    <w:p w14:paraId="339D3BB5">
      <w:pPr>
        <w:pStyle w:val="24"/>
        <w:numPr>
          <w:ilvl w:val="0"/>
          <w:numId w:val="1"/>
        </w:numPr>
      </w:pPr>
      <w:r>
        <w:rPr>
          <w:rFonts w:ascii="Times New Roman" w:hAnsi="Times New Roman" w:eastAsia="微软雅黑"/>
          <w:sz w:val="24"/>
        </w:rPr>
        <w:t>理解杜邦分析的拆解逻辑，能够用杜邦分析揭示ROE的驱动因素</w:t>
      </w:r>
    </w:p>
    <w:p w14:paraId="2DAB49EA">
      <w:pPr>
        <w:pStyle w:val="24"/>
        <w:numPr>
          <w:ilvl w:val="0"/>
          <w:numId w:val="1"/>
        </w:numPr>
      </w:pPr>
      <w:r>
        <w:rPr>
          <w:rFonts w:ascii="Times New Roman" w:hAnsi="Times New Roman" w:eastAsia="微软雅黑"/>
          <w:sz w:val="24"/>
        </w:rPr>
        <w:t>了解行业参照系在财务比率分析中的重要性</w:t>
      </w:r>
    </w:p>
    <w:p w14:paraId="5E5D5D22">
      <w:pPr>
        <w:pStyle w:val="23"/>
      </w:pPr>
      <w:r>
        <w:rPr>
          <w:rFonts w:ascii="Times New Roman" w:hAnsi="Times New Roman" w:eastAsia="微软雅黑"/>
          <w:b/>
          <w:bCs/>
          <w:sz w:val="24"/>
        </w:rPr>
        <w:t>技能目标</w:t>
      </w:r>
    </w:p>
    <w:p w14:paraId="0B8C6B36">
      <w:pPr>
        <w:pStyle w:val="24"/>
        <w:numPr>
          <w:ilvl w:val="0"/>
          <w:numId w:val="1"/>
        </w:numPr>
      </w:pPr>
      <w:r>
        <w:rPr>
          <w:rFonts w:ascii="Times New Roman" w:hAnsi="Times New Roman" w:eastAsia="微软雅黑"/>
          <w:sz w:val="24"/>
        </w:rPr>
        <w:t>能够从资产负债表和利润表中提取数据，计算三类财务比率</w:t>
      </w:r>
    </w:p>
    <w:p w14:paraId="5C6817D2">
      <w:pPr>
        <w:pStyle w:val="24"/>
        <w:numPr>
          <w:ilvl w:val="0"/>
          <w:numId w:val="1"/>
        </w:numPr>
      </w:pPr>
      <w:r>
        <w:rPr>
          <w:rFonts w:ascii="Times New Roman" w:hAnsi="Times New Roman" w:eastAsia="微软雅黑"/>
          <w:sz w:val="24"/>
        </w:rPr>
        <w:t>能够借助AI生成计算公式并对结果进行解读</w:t>
      </w:r>
    </w:p>
    <w:p w14:paraId="42E856DF">
      <w:pPr>
        <w:pStyle w:val="24"/>
        <w:numPr>
          <w:ilvl w:val="0"/>
          <w:numId w:val="1"/>
        </w:numPr>
      </w:pPr>
      <w:r>
        <w:rPr>
          <w:rFonts w:ascii="Times New Roman" w:hAnsi="Times New Roman" w:eastAsia="微软雅黑"/>
          <w:sz w:val="24"/>
        </w:rPr>
        <w:t>能够独立完成杜邦分析，识别影响ROE的关键驱动因素</w:t>
      </w:r>
    </w:p>
    <w:p w14:paraId="410C1955">
      <w:pPr>
        <w:pStyle w:val="24"/>
        <w:numPr>
          <w:ilvl w:val="0"/>
          <w:numId w:val="1"/>
        </w:numPr>
      </w:pPr>
      <w:r>
        <w:rPr>
          <w:rFonts w:ascii="Times New Roman" w:hAnsi="Times New Roman" w:eastAsia="微软雅黑"/>
          <w:sz w:val="24"/>
        </w:rPr>
        <w:t>能够在扣子平台搭建配置了行业参照知识库的“财务指标综合评价智能体”</w:t>
      </w:r>
    </w:p>
    <w:p w14:paraId="28643332">
      <w:pPr>
        <w:pStyle w:val="23"/>
      </w:pPr>
      <w:r>
        <w:rPr>
          <w:rFonts w:ascii="Times New Roman" w:hAnsi="Times New Roman" w:eastAsia="微软雅黑"/>
          <w:b/>
          <w:bCs/>
          <w:sz w:val="24"/>
        </w:rPr>
        <w:t>素养目标</w:t>
      </w:r>
    </w:p>
    <w:p w14:paraId="601BE6EC">
      <w:pPr>
        <w:pStyle w:val="24"/>
        <w:numPr>
          <w:ilvl w:val="0"/>
          <w:numId w:val="1"/>
        </w:numPr>
      </w:pPr>
      <w:r>
        <w:rPr>
          <w:rFonts w:ascii="Times New Roman" w:hAnsi="Times New Roman" w:eastAsia="微软雅黑"/>
          <w:sz w:val="24"/>
        </w:rPr>
        <w:t>培养“指标要有参照才有意义”的相对性思维</w:t>
      </w:r>
    </w:p>
    <w:p w14:paraId="7CF1DB5D">
      <w:pPr>
        <w:pStyle w:val="24"/>
        <w:numPr>
          <w:ilvl w:val="0"/>
          <w:numId w:val="1"/>
        </w:numPr>
      </w:pPr>
      <w:r>
        <w:rPr>
          <w:rFonts w:ascii="Times New Roman" w:hAnsi="Times New Roman" w:eastAsia="微软雅黑"/>
          <w:sz w:val="24"/>
        </w:rPr>
        <w:t>认识财务比率分析的局限，避免对单一指标过度解读</w:t>
      </w:r>
    </w:p>
    <w:p w14:paraId="755F1342">
      <w:pPr>
        <w:pStyle w:val="24"/>
        <w:numPr>
          <w:ilvl w:val="0"/>
          <w:numId w:val="1"/>
        </w:numPr>
      </w:pPr>
      <w:r>
        <w:rPr>
          <w:rFonts w:ascii="Times New Roman" w:hAnsi="Times New Roman" w:eastAsia="微软雅黑"/>
          <w:sz w:val="24"/>
        </w:rPr>
        <w:t>理解企业财务是一个相互制约的系统，各指标之间有内在关联</w:t>
      </w:r>
    </w:p>
    <w:p w14:paraId="2CF878D8">
      <w:pPr>
        <w:pStyle w:val="24"/>
        <w:numPr>
          <w:ilvl w:val="0"/>
          <w:numId w:val="1"/>
        </w:numPr>
      </w:pPr>
      <w:r>
        <w:rPr>
          <w:rFonts w:ascii="Times New Roman" w:hAnsi="Times New Roman" w:eastAsia="微软雅黑"/>
          <w:sz w:val="24"/>
        </w:rPr>
        <w:t>对AI给出的综合评价保持审慎，结合企业实际情况做最终判断</w:t>
      </w:r>
    </w:p>
    <w:p w14:paraId="5BD49A84">
      <w:r>
        <w:pict>
          <v:rect id="_x0000_i1028" o:spt="1" style="height:1.5pt;width:0pt;" coordsize="21600,21600" o:hr="t" o:hrstd="t" o:hralign="center">
            <v:path/>
            <v:fill focussize="0,0"/>
            <v:stroke/>
            <v:imagedata o:title=""/>
            <o:lock v:ext="edit"/>
            <w10:wrap type="none"/>
            <w10:anchorlock/>
          </v:rect>
        </w:pict>
      </w:r>
    </w:p>
    <w:bookmarkEnd w:id="3"/>
    <w:p w14:paraId="5BE26CB7">
      <w:pPr>
        <w:pStyle w:val="5"/>
      </w:pPr>
      <w:bookmarkStart w:id="4" w:name="重点难点"/>
      <w:r>
        <w:rPr>
          <w:rFonts w:ascii="Times New Roman" w:hAnsi="Times New Roman" w:eastAsia="微软雅黑"/>
          <w:sz w:val="24"/>
        </w:rPr>
        <w:t>3. 重点难点</w:t>
      </w:r>
    </w:p>
    <w:p w14:paraId="7FFD4E20">
      <w:pPr>
        <w:pStyle w:val="23"/>
      </w:pPr>
      <w:r>
        <w:rPr>
          <w:rFonts w:ascii="Times New Roman" w:hAnsi="Times New Roman" w:eastAsia="微软雅黑"/>
          <w:b/>
          <w:bCs/>
          <w:sz w:val="24"/>
        </w:rPr>
        <w:t>重点</w:t>
      </w:r>
    </w:p>
    <w:p w14:paraId="723237B2">
      <w:pPr>
        <w:pStyle w:val="24"/>
        <w:numPr>
          <w:ilvl w:val="0"/>
          <w:numId w:val="1"/>
        </w:numPr>
      </w:pPr>
      <w:r>
        <w:rPr>
          <w:rFonts w:ascii="Times New Roman" w:hAnsi="Times New Roman" w:eastAsia="微软雅黑"/>
          <w:sz w:val="24"/>
        </w:rPr>
        <w:t>三类财务比率的计算方法和判断标准</w:t>
      </w:r>
    </w:p>
    <w:p w14:paraId="1A3F4E17">
      <w:pPr>
        <w:pStyle w:val="24"/>
        <w:numPr>
          <w:ilvl w:val="0"/>
          <w:numId w:val="1"/>
        </w:numPr>
      </w:pPr>
      <w:r>
        <w:rPr>
          <w:rFonts w:ascii="Times New Roman" w:hAnsi="Times New Roman" w:eastAsia="微软雅黑"/>
          <w:sz w:val="24"/>
        </w:rPr>
        <w:t>行业参照系的获取途径和使用方式</w:t>
      </w:r>
    </w:p>
    <w:p w14:paraId="0A39C900">
      <w:pPr>
        <w:pStyle w:val="24"/>
        <w:numPr>
          <w:ilvl w:val="0"/>
          <w:numId w:val="1"/>
        </w:numPr>
      </w:pPr>
      <w:r>
        <w:rPr>
          <w:rFonts w:ascii="Times New Roman" w:hAnsi="Times New Roman" w:eastAsia="微软雅黑"/>
          <w:sz w:val="24"/>
        </w:rPr>
        <w:t>杜邦分析的拆解步骤和结论提炼</w:t>
      </w:r>
    </w:p>
    <w:p w14:paraId="5F184B08">
      <w:pPr>
        <w:pStyle w:val="24"/>
        <w:numPr>
          <w:ilvl w:val="0"/>
          <w:numId w:val="1"/>
        </w:numPr>
      </w:pPr>
      <w:r>
        <w:rPr>
          <w:rFonts w:ascii="Times New Roman" w:hAnsi="Times New Roman" w:eastAsia="微软雅黑"/>
          <w:sz w:val="24"/>
        </w:rPr>
        <w:t>综合评价智能体的知识库设计</w:t>
      </w:r>
    </w:p>
    <w:p w14:paraId="65951CB0">
      <w:pPr>
        <w:pStyle w:val="23"/>
      </w:pPr>
      <w:r>
        <w:rPr>
          <w:rFonts w:ascii="Times New Roman" w:hAnsi="Times New Roman" w:eastAsia="微软雅黑"/>
          <w:b/>
          <w:bCs/>
          <w:sz w:val="24"/>
        </w:rPr>
        <w:t>难点</w:t>
      </w:r>
    </w:p>
    <w:p w14:paraId="32FB511E">
      <w:pPr>
        <w:pStyle w:val="24"/>
        <w:numPr>
          <w:ilvl w:val="0"/>
          <w:numId w:val="1"/>
        </w:numPr>
      </w:pPr>
      <w:r>
        <w:rPr>
          <w:rFonts w:ascii="Times New Roman" w:hAnsi="Times New Roman" w:eastAsia="微软雅黑"/>
          <w:sz w:val="24"/>
        </w:rPr>
        <w:t>理解不同指标之间的联系，避免孤立解读单一数字</w:t>
      </w:r>
    </w:p>
    <w:p w14:paraId="605B85F7">
      <w:pPr>
        <w:pStyle w:val="24"/>
        <w:numPr>
          <w:ilvl w:val="0"/>
          <w:numId w:val="1"/>
        </w:numPr>
      </w:pPr>
      <w:r>
        <w:rPr>
          <w:rFonts w:ascii="Times New Roman" w:hAnsi="Times New Roman" w:eastAsia="微软雅黑"/>
          <w:sz w:val="24"/>
        </w:rPr>
        <w:t>杜邦分析中各因素变化对ROE的影响方向和幅度</w:t>
      </w:r>
    </w:p>
    <w:p w14:paraId="746BA2A1">
      <w:pPr>
        <w:pStyle w:val="24"/>
        <w:numPr>
          <w:ilvl w:val="0"/>
          <w:numId w:val="1"/>
        </w:numPr>
      </w:pPr>
      <w:r>
        <w:rPr>
          <w:rFonts w:ascii="Times New Roman" w:hAnsi="Times New Roman" w:eastAsia="微软雅黑"/>
          <w:sz w:val="24"/>
        </w:rPr>
        <w:t>行业参照数据的可靠性判断</w:t>
      </w:r>
    </w:p>
    <w:p w14:paraId="7C8CE37A">
      <w:pPr>
        <w:pStyle w:val="24"/>
        <w:numPr>
          <w:ilvl w:val="0"/>
          <w:numId w:val="1"/>
        </w:numPr>
      </w:pPr>
      <w:r>
        <w:rPr>
          <w:rFonts w:ascii="Times New Roman" w:hAnsi="Times New Roman" w:eastAsia="微软雅黑"/>
          <w:sz w:val="24"/>
        </w:rPr>
        <w:t>在提示词中准确表达“结合行业参照给出评价”的分析逻辑</w:t>
      </w:r>
    </w:p>
    <w:p w14:paraId="4C8D32D2">
      <w:r>
        <w:pict>
          <v:rect id="_x0000_i1029" o:spt="1" style="height:1.5pt;width:0pt;" coordsize="21600,21600" o:hr="t" o:hrstd="t" o:hralign="center">
            <v:path/>
            <v:fill focussize="0,0"/>
            <v:stroke/>
            <v:imagedata o:title=""/>
            <o:lock v:ext="edit"/>
            <w10:wrap type="none"/>
            <w10:anchorlock/>
          </v:rect>
        </w:pict>
      </w:r>
    </w:p>
    <w:bookmarkEnd w:id="4"/>
    <w:p w14:paraId="46428A9D">
      <w:pPr>
        <w:pStyle w:val="5"/>
      </w:pPr>
      <w:bookmarkStart w:id="5" w:name="素养关注"/>
      <w:r>
        <w:rPr>
          <w:rFonts w:ascii="Times New Roman" w:hAnsi="Times New Roman" w:eastAsia="微软雅黑"/>
          <w:sz w:val="24"/>
        </w:rPr>
        <w:t>4. 素养关注</w:t>
      </w:r>
    </w:p>
    <w:p w14:paraId="066E436B">
      <w:pPr>
        <w:pStyle w:val="24"/>
        <w:numPr>
          <w:ilvl w:val="0"/>
          <w:numId w:val="1"/>
        </w:numPr>
      </w:pPr>
      <w:r>
        <w:rPr>
          <w:rFonts w:ascii="Times New Roman" w:hAnsi="Times New Roman" w:eastAsia="微软雅黑"/>
          <w:b/>
          <w:bCs/>
          <w:sz w:val="24"/>
        </w:rPr>
        <w:t>相对思维</w:t>
      </w:r>
      <w:r>
        <w:rPr>
          <w:rFonts w:ascii="Times New Roman" w:hAnsi="Times New Roman" w:eastAsia="微软雅黑"/>
          <w:sz w:val="24"/>
        </w:rPr>
        <w:t>：财务比率只有在与参照系比较时才产生意义</w:t>
      </w:r>
    </w:p>
    <w:p w14:paraId="7DCC2A22">
      <w:pPr>
        <w:pStyle w:val="24"/>
        <w:numPr>
          <w:ilvl w:val="0"/>
          <w:numId w:val="1"/>
        </w:numPr>
      </w:pPr>
      <w:r>
        <w:rPr>
          <w:rFonts w:ascii="Times New Roman" w:hAnsi="Times New Roman" w:eastAsia="微软雅黑"/>
          <w:b/>
          <w:bCs/>
          <w:sz w:val="24"/>
        </w:rPr>
        <w:t>系统意识</w:t>
      </w:r>
      <w:r>
        <w:rPr>
          <w:rFonts w:ascii="Times New Roman" w:hAnsi="Times New Roman" w:eastAsia="微软雅黑"/>
          <w:sz w:val="24"/>
        </w:rPr>
        <w:t>：三类指标共同构成企业财务健康状况的完整图景，不能只看一面</w:t>
      </w:r>
    </w:p>
    <w:p w14:paraId="60E6D0BC">
      <w:pPr>
        <w:pStyle w:val="24"/>
        <w:numPr>
          <w:ilvl w:val="0"/>
          <w:numId w:val="1"/>
        </w:numPr>
      </w:pPr>
      <w:r>
        <w:rPr>
          <w:rFonts w:ascii="Times New Roman" w:hAnsi="Times New Roman" w:eastAsia="微软雅黑"/>
          <w:b/>
          <w:bCs/>
          <w:sz w:val="24"/>
        </w:rPr>
        <w:t>审慎意识</w:t>
      </w:r>
      <w:r>
        <w:rPr>
          <w:rFonts w:ascii="Times New Roman" w:hAnsi="Times New Roman" w:eastAsia="微软雅黑"/>
          <w:sz w:val="24"/>
        </w:rPr>
        <w:t>：比率会受到会计政策、行业特点、经营周期等多种因素影响，数字背后需要业务理解</w:t>
      </w:r>
    </w:p>
    <w:p w14:paraId="79E2DF6D">
      <w:pPr>
        <w:pStyle w:val="24"/>
        <w:numPr>
          <w:ilvl w:val="0"/>
          <w:numId w:val="1"/>
        </w:numPr>
      </w:pPr>
      <w:r>
        <w:rPr>
          <w:rFonts w:ascii="Times New Roman" w:hAnsi="Times New Roman" w:eastAsia="微软雅黑"/>
          <w:b/>
          <w:bCs/>
          <w:sz w:val="24"/>
        </w:rPr>
        <w:t>局限意识</w:t>
      </w:r>
      <w:r>
        <w:rPr>
          <w:rFonts w:ascii="Times New Roman" w:hAnsi="Times New Roman" w:eastAsia="微软雅黑"/>
          <w:sz w:val="24"/>
        </w:rPr>
        <w:t>：财务报表是历史信息，比率分析揭示的是过去，而非对未来的直接预测</w:t>
      </w:r>
    </w:p>
    <w:p w14:paraId="4D8A085C">
      <w:r>
        <w:pict>
          <v:rect id="_x0000_i1030" o:spt="1" style="height:1.5pt;width:0pt;" coordsize="21600,21600" o:hr="t" o:hrstd="t" o:hralign="center">
            <v:path/>
            <v:fill focussize="0,0"/>
            <v:stroke/>
            <v:imagedata o:title=""/>
            <o:lock v:ext="edit"/>
            <w10:wrap type="none"/>
            <w10:anchorlock/>
          </v:rect>
        </w:pict>
      </w:r>
    </w:p>
    <w:bookmarkEnd w:id="1"/>
    <w:bookmarkEnd w:id="5"/>
    <w:p w14:paraId="5549DCFB">
      <w:pPr>
        <w:pStyle w:val="4"/>
      </w:pPr>
      <w:bookmarkStart w:id="6" w:name="情景导入"/>
      <w:r>
        <w:rPr>
          <w:rFonts w:ascii="Times New Roman" w:hAnsi="Times New Roman" w:eastAsia="微软雅黑"/>
          <w:sz w:val="24"/>
        </w:rPr>
        <w:t>【情景导入】</w:t>
      </w:r>
    </w:p>
    <w:p w14:paraId="3C9D3AA1">
      <w:pPr>
        <w:pStyle w:val="5"/>
      </w:pPr>
      <w:bookmarkStart w:id="7" w:name="两家公司谁的财务状况更健康"/>
      <w:r>
        <w:rPr>
          <w:rFonts w:ascii="Times New Roman" w:hAnsi="Times New Roman" w:eastAsia="微软雅黑"/>
          <w:sz w:val="24"/>
        </w:rPr>
        <w:t>两家公司，谁的财务状况更健康</w:t>
      </w:r>
    </w:p>
    <w:p w14:paraId="025F5E61">
      <w:pPr>
        <w:pStyle w:val="23"/>
      </w:pPr>
      <w:r>
        <w:rPr>
          <w:rFonts w:ascii="Times New Roman" w:hAnsi="Times New Roman" w:eastAsia="微软雅黑"/>
          <w:sz w:val="24"/>
        </w:rPr>
        <w:t xml:space="preserve">明远投资公司正在考虑向两家连锁餐饮企业投放一笔三年期的供应链贷款，金额各500万元。两家企业都提交了最新的财务报表。其中，企业A即全书贯穿案例鲜合餐饮，企业B为同行竞争企业绿源餐饮（文中简称为A公司与B公司）。投资经理小戴拿到报表后，让两位初级分析师分别做初步评估。</w:t>
      </w:r>
    </w:p>
    <w:p w14:paraId="264727AE">
      <w:pPr>
        <w:pStyle w:val="3"/>
      </w:pPr>
      <w:r>
        <w:rPr>
          <w:rFonts w:ascii="Times New Roman" w:hAnsi="Times New Roman" w:eastAsia="微软雅黑"/>
          <w:sz w:val="24"/>
        </w:rPr>
        <w:t>分析师甲小林看了报表之后说：</w:t>
      </w:r>
    </w:p>
    <w:p w14:paraId="63AB677A">
      <w:pPr>
        <w:pStyle w:val="13"/>
      </w:pPr>
      <w:r>
        <w:rPr>
          <w:rFonts w:ascii="Times New Roman" w:hAnsi="Times New Roman" w:eastAsia="微软雅黑"/>
          <w:sz w:val="24"/>
        </w:rPr>
        <w:t>“A公司去年净利润280万元，B公司净利润320万元，B公司更赚钱，应该优先考虑B公司。”</w:t>
      </w:r>
    </w:p>
    <w:p w14:paraId="32621B1A">
      <w:pPr>
        <w:pStyle w:val="23"/>
      </w:pPr>
      <w:r>
        <w:rPr>
          <w:rFonts w:ascii="Times New Roman" w:hAnsi="Times New Roman" w:eastAsia="微软雅黑"/>
          <w:sz w:val="24"/>
        </w:rPr>
        <w:t>分析师乙小赵看了同一份报表，说的是另一套：</w:t>
      </w:r>
    </w:p>
    <w:p w14:paraId="3F5530F0">
      <w:pPr>
        <w:pStyle w:val="13"/>
      </w:pPr>
      <w:r>
        <w:rPr>
          <w:rFonts w:ascii="Times New Roman" w:hAnsi="Times New Roman" w:eastAsia="微软雅黑"/>
          <w:sz w:val="24"/>
        </w:rPr>
        <w:t xml:space="preserve">“A公司的流动比率2.1，B公司的流动比率只有0.9。B公司的净利润虽然更高，但短期偿债能力存在一定风险——流动比率低于1意味着流动负债大于流动资产，短期内如果资金链出现问题，还款能力会受影响。另外，B公司的应收账款周转天数是43天，A公司只有26天，说明B公司的资金回收效率更低。综合来看，虽然B公司盈利能力略强，但短期偿债风险和营运效率问题需要重点关注。”</w:t>
      </w:r>
    </w:p>
    <w:p w14:paraId="7B8042B7">
      <w:pPr>
        <w:pStyle w:val="23"/>
      </w:pPr>
      <w:r>
        <w:rPr>
          <w:rFonts w:ascii="Times New Roman" w:hAnsi="Times New Roman" w:eastAsia="微软雅黑"/>
          <w:sz w:val="24"/>
        </w:rPr>
        <w:t>小戴看完两份评估，对小林说：</w:t>
      </w:r>
    </w:p>
    <w:p w14:paraId="58AB3D94">
      <w:pPr>
        <w:pStyle w:val="13"/>
      </w:pPr>
      <w:r>
        <w:rPr>
          <w:rFonts w:ascii="Times New Roman" w:hAnsi="Times New Roman" w:eastAsia="微软雅黑"/>
          <w:sz w:val="24"/>
        </w:rPr>
        <w:t>“你看的是对的，B公司确实更赚钱。但你遗漏了一个关键信息：我们是在评估贷款风险，不是在选股票。对我们来说，偿债能力比盈利能力更重要。一家赚钱但还不上钱的企业，对我们来说风险更大。”</w:t>
      </w:r>
    </w:p>
    <w:p w14:paraId="5B7ADFAD">
      <w:r>
        <w:pict>
          <v:rect id="_x0000_i1031" o:spt="1" style="height:1.5pt;width:0pt;" coordsize="21600,21600" o:hr="t" o:hrstd="t" o:hralign="center">
            <v:path/>
            <v:fill focussize="0,0"/>
            <v:stroke/>
            <v:imagedata o:title=""/>
            <o:lock v:ext="edit"/>
            <w10:wrap type="none"/>
            <w10:anchorlock/>
          </v:rect>
        </w:pict>
      </w:r>
    </w:p>
    <w:p w14:paraId="2A9F7337">
      <w:pPr>
        <w:pStyle w:val="23"/>
      </w:pPr>
      <w:r>
        <w:rPr>
          <w:rFonts w:ascii="Times New Roman" w:hAnsi="Times New Roman" w:eastAsia="微软雅黑"/>
          <w:sz w:val="24"/>
        </w:rPr>
        <w:t>这个场景说明了财务比率分析中一个很基本但容易被忽视的道理：</w:t>
      </w:r>
      <w:r>
        <w:rPr>
          <w:rFonts w:ascii="Times New Roman" w:hAnsi="Times New Roman" w:eastAsia="微软雅黑"/>
          <w:b/>
          <w:bCs/>
          <w:sz w:val="24"/>
        </w:rPr>
        <w:t>不同的分析目的，关注的指标重心不同</w:t>
      </w:r>
      <w:r>
        <w:rPr>
          <w:rFonts w:ascii="Times New Roman" w:hAnsi="Times New Roman" w:eastAsia="微软雅黑"/>
          <w:sz w:val="24"/>
        </w:rPr>
        <w:t>。评估投资回报看盈利能力，评估信贷风险看偿债能力，评估运营效率看营运能力。</w:t>
      </w:r>
    </w:p>
    <w:p w14:paraId="6E166221">
      <w:pPr>
        <w:pStyle w:val="3"/>
      </w:pPr>
      <w:r>
        <w:rPr>
          <w:rFonts w:ascii="Times New Roman" w:hAnsi="Times New Roman" w:eastAsia="微软雅黑"/>
          <w:sz w:val="24"/>
        </w:rPr>
        <w:t>更重要的是，单看一个指标——利润280万或320万——不能说明多少问题。但当你计算出流动比率、应收账款周转天数这些相对指标，再和同行或参照值比较，财务状况的全貌才真正清晰起来。</w:t>
      </w:r>
    </w:p>
    <w:bookmarkEnd w:id="7"/>
    <w:p w14:paraId="3531ED73">
      <w:pPr>
        <w:pStyle w:val="5"/>
      </w:pPr>
      <w:bookmarkStart w:id="8" w:name="情景思考"/>
      <w:r>
        <w:rPr>
          <w:rFonts w:ascii="Times New Roman" w:hAnsi="Times New Roman" w:eastAsia="微软雅黑"/>
          <w:sz w:val="24"/>
        </w:rPr>
        <w:t>情景思考</w:t>
      </w:r>
    </w:p>
    <w:p w14:paraId="6E747946">
      <w:pPr>
        <w:pStyle w:val="24"/>
        <w:numPr>
          <w:ilvl w:val="0"/>
          <w:numId w:val="2"/>
        </w:numPr>
      </w:pPr>
      <w:r>
        <w:rPr>
          <w:rFonts w:ascii="Times New Roman" w:hAnsi="Times New Roman" w:eastAsia="微软雅黑"/>
          <w:sz w:val="24"/>
        </w:rPr>
        <w:t>小林的分析错了吗？他的结论在什么情况下才是正确的？</w:t>
      </w:r>
    </w:p>
    <w:p w14:paraId="663A6B1E">
      <w:pPr>
        <w:pStyle w:val="24"/>
        <w:numPr>
          <w:ilvl w:val="0"/>
          <w:numId w:val="2"/>
        </w:numPr>
      </w:pPr>
      <w:r>
        <w:rPr>
          <w:rFonts w:ascii="Times New Roman" w:hAnsi="Times New Roman" w:eastAsia="微软雅黑"/>
          <w:sz w:val="24"/>
        </w:rPr>
        <w:t>流动比率低于1意味着什么？对贷款人来说，这个信号为什么比利润数字更重要？</w:t>
      </w:r>
    </w:p>
    <w:p w14:paraId="44A07851">
      <w:pPr>
        <w:pStyle w:val="24"/>
        <w:numPr>
          <w:ilvl w:val="0"/>
          <w:numId w:val="2"/>
        </w:numPr>
      </w:pPr>
      <w:r>
        <w:rPr>
          <w:rFonts w:ascii="Times New Roman" w:hAnsi="Times New Roman" w:eastAsia="微软雅黑"/>
          <w:sz w:val="24"/>
        </w:rPr>
        <w:t>同一套财务数据，为什么评估股权投资和评估信贷风险会关注不同的指标？</w:t>
      </w:r>
    </w:p>
    <w:p w14:paraId="5B9CE4D3">
      <w:pPr>
        <w:pStyle w:val="24"/>
        <w:numPr>
          <w:ilvl w:val="0"/>
          <w:numId w:val="2"/>
        </w:numPr>
      </w:pPr>
      <w:r>
        <w:rPr>
          <w:rFonts w:ascii="Times New Roman" w:hAnsi="Times New Roman" w:eastAsia="微软雅黑"/>
          <w:sz w:val="24"/>
        </w:rPr>
        <w:t>如果A公司和B公司所在的行业不同，这个比较还有意义吗？</w:t>
      </w:r>
    </w:p>
    <w:p w14:paraId="3A70804E">
      <w:r>
        <w:pict>
          <v:rect id="_x0000_i1032" o:spt="1" style="height:1.5pt;width:0pt;" coordsize="21600,21600" o:hr="t" o:hrstd="t" o:hralign="center">
            <v:path/>
            <v:fill focussize="0,0"/>
            <v:stroke/>
            <v:imagedata o:title=""/>
            <o:lock v:ext="edit"/>
            <w10:wrap type="none"/>
            <w10:anchorlock/>
          </v:rect>
        </w:pict>
      </w:r>
    </w:p>
    <w:bookmarkEnd w:id="6"/>
    <w:bookmarkEnd w:id="8"/>
    <w:p w14:paraId="7ED4334E">
      <w:pPr>
        <w:pStyle w:val="2"/>
      </w:pPr>
      <w:bookmarkStart w:id="9" w:name="任务7.1-分析偿债能力"/>
      <w:r>
        <w:rPr>
          <w:rFonts w:ascii="Times New Roman" w:hAnsi="Times New Roman" w:eastAsia="微软雅黑"/>
          <w:sz w:val="24"/>
        </w:rPr>
        <w:t>任务7.1 分析偿债能力</w:t>
      </w:r>
    </w:p>
    <w:p w14:paraId="765CAB52">
      <w:pPr>
        <w:pStyle w:val="23"/>
      </w:pPr>
      <w:r>
        <w:rPr>
          <w:rFonts w:ascii="Times New Roman" w:hAnsi="Times New Roman" w:eastAsia="微软雅黑"/>
          <w:sz w:val="24"/>
        </w:rPr>
        <w:t>偿债能力分析回答的是一个最基本的问题：这家企业能不能按时还债？按还款时间长短，分为短期偿债能力和长期偿债能力两类。</w:t>
      </w:r>
    </w:p>
    <w:p w14:paraId="12350704">
      <w:pPr>
        <w:pStyle w:val="4"/>
      </w:pPr>
      <w:bookmarkStart w:id="10" w:name="短期偿债能力指标"/>
      <w:r>
        <w:rPr>
          <w:rFonts w:ascii="Times New Roman" w:hAnsi="Times New Roman" w:eastAsia="微软雅黑"/>
          <w:sz w:val="24"/>
        </w:rPr>
        <w:t>7.1.1 短期偿债能力指标</w:t>
      </w:r>
    </w:p>
    <w:p w14:paraId="011A74E6">
      <w:pPr>
        <w:pStyle w:val="5"/>
      </w:pPr>
      <w:bookmarkStart w:id="11" w:name="为什么短期偿债能力很关键"/>
      <w:r>
        <w:rPr>
          <w:rFonts w:ascii="Times New Roman" w:hAnsi="Times New Roman" w:eastAsia="微软雅黑"/>
          <w:sz w:val="24"/>
        </w:rPr>
        <w:t>1. 为什么短期偿债能力很关键</w:t>
      </w:r>
    </w:p>
    <w:p w14:paraId="4083603E">
      <w:pPr>
        <w:pStyle w:val="23"/>
      </w:pPr>
      <w:r>
        <w:rPr>
          <w:rFonts w:ascii="Times New Roman" w:hAnsi="Times New Roman" w:eastAsia="微软雅黑"/>
          <w:sz w:val="24"/>
        </w:rPr>
        <w:t>一家企业可能年度利润很好，但如果某个时点的流动资产不足以覆盖即将到期的流动负债，就可能出现资金链断裂——哪怕账面上还有很多未回收的应收款或未变现的存货。历史上因为短期流动性问题而陷入困境的企业，往往并非盈利能力差，而是流动资产结构出了问题。</w:t>
      </w:r>
    </w:p>
    <w:p w14:paraId="0E78DF79">
      <w:pPr>
        <w:pStyle w:val="3"/>
      </w:pPr>
      <w:r>
        <w:rPr>
          <w:rFonts w:ascii="Times New Roman" w:hAnsi="Times New Roman" w:eastAsia="微软雅黑"/>
          <w:sz w:val="24"/>
        </w:rPr>
        <w:t>短期偿债能力的三个核心指标见表7-1。</w:t>
      </w:r>
    </w:p>
    <w:p w14:paraId="6F40C2C5">
      <w:pPr>
        <w:jc w:val="center"/>
        <w:pStyle w:val="3"/>
      </w:pPr>
      <w:r>
        <w:rPr>
          <w:rFonts w:ascii="Times New Roman" w:hAnsi="Times New Roman" w:eastAsia="微软雅黑"/>
          <w:b/>
          <w:bCs/>
          <w:sz w:val="24"/>
        </w:rPr>
        <w:t>表7-1 短期偿债能力的三个核心指标</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31"/>
        <w:gridCol w:w="2381"/>
        <w:gridCol w:w="3159"/>
        <w:gridCol w:w="2485"/>
      </w:tblGrid>
      <w:tr w14:paraId="348273E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7BF30D1">
            <w:pPr>
              <w:pStyle w:val="24"/>
              <w:jc w:val="left"/>
            </w:pPr>
            <w:r>
              <w:rPr>
                <w:rFonts w:ascii="Times New Roman" w:hAnsi="Times New Roman" w:eastAsia="微软雅黑"/>
                <w:b/>
                <w:color w:val="1E3A8A"/>
                <w:sz w:val="22"/>
              </w:rPr>
              <w:t>指标</w:t>
            </w:r>
          </w:p>
        </w:tc>
        <w:tc>
          <w:tcPr>
            <w:tcBorders>
              <w:top w:val="single" w:color="E2E8F0" w:sz="6" w:space="0"/>
              <w:left w:val="single" w:color="E2E8F0" w:sz="6" w:space="0"/>
              <w:bottom w:val="single" w:color="E2E8F0" w:sz="6" w:space="0"/>
              <w:right w:val="single" w:color="E2E8F0" w:sz="6" w:space="0"/>
            </w:tcBorders>
            <w:shd w:val="clear" w:color="auto" w:fill="EEF4FF"/>
          </w:tcPr>
          <w:p w14:paraId="3C725EC0">
            <w:pPr>
              <w:pStyle w:val="24"/>
              <w:jc w:val="left"/>
            </w:pPr>
            <w:r>
              <w:rPr>
                <w:rFonts w:ascii="Times New Roman" w:hAnsi="Times New Roman" w:eastAsia="微软雅黑"/>
                <w:b/>
                <w:color w:val="1E3A8A"/>
                <w:sz w:val="22"/>
              </w:rPr>
              <w:t>计算公式</w:t>
            </w:r>
          </w:p>
        </w:tc>
        <w:tc>
          <w:tcPr>
            <w:tcBorders>
              <w:top w:val="single" w:color="E2E8F0" w:sz="6" w:space="0"/>
              <w:left w:val="single" w:color="E2E8F0" w:sz="6" w:space="0"/>
              <w:bottom w:val="single" w:color="E2E8F0" w:sz="6" w:space="0"/>
              <w:right w:val="single" w:color="E2E8F0" w:sz="6" w:space="0"/>
            </w:tcBorders>
            <w:shd w:val="clear" w:color="auto" w:fill="EEF4FF"/>
          </w:tcPr>
          <w:p w14:paraId="6F29E449">
            <w:pPr>
              <w:pStyle w:val="24"/>
              <w:jc w:val="left"/>
            </w:pPr>
            <w:r>
              <w:rPr>
                <w:rFonts w:ascii="Times New Roman" w:hAnsi="Times New Roman" w:eastAsia="微软雅黑"/>
                <w:b/>
                <w:color w:val="1E3A8A"/>
                <w:sz w:val="22"/>
              </w:rPr>
              <w:t>含义</w:t>
            </w:r>
          </w:p>
        </w:tc>
        <w:tc>
          <w:tcPr>
            <w:tcBorders>
              <w:top w:val="single" w:color="E2E8F0" w:sz="6" w:space="0"/>
              <w:left w:val="single" w:color="E2E8F0" w:sz="6" w:space="0"/>
              <w:bottom w:val="single" w:color="E2E8F0" w:sz="6" w:space="0"/>
              <w:right w:val="single" w:color="E2E8F0" w:sz="6" w:space="0"/>
            </w:tcBorders>
            <w:shd w:val="clear" w:color="auto" w:fill="EEF4FF"/>
          </w:tcPr>
          <w:p w14:paraId="66CBC401">
            <w:pPr>
              <w:pStyle w:val="24"/>
              <w:jc w:val="left"/>
            </w:pPr>
            <w:r>
              <w:rPr>
                <w:rFonts w:ascii="Times New Roman" w:hAnsi="Times New Roman" w:eastAsia="微软雅黑"/>
                <w:b/>
                <w:color w:val="1E3A8A"/>
                <w:sz w:val="22"/>
              </w:rPr>
              <w:t>一般参考标准</w:t>
            </w:r>
          </w:p>
        </w:tc>
      </w:tr>
      <w:tr w14:paraId="3607E4D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459893E">
            <w:pPr>
              <w:pStyle w:val="24"/>
              <w:jc w:val="left"/>
            </w:pPr>
            <w:r>
              <w:rPr>
                <w:rFonts w:ascii="Times New Roman" w:hAnsi="Times New Roman" w:eastAsia="微软雅黑"/>
                <w:sz w:val="22"/>
              </w:rPr>
              <w:t>流动比率</w:t>
            </w:r>
          </w:p>
        </w:tc>
        <w:tc>
          <w:tcPr>
            <w:tcBorders>
              <w:top w:val="single" w:color="E2E8F0" w:sz="6" w:space="0"/>
              <w:left w:val="single" w:color="E2E8F0" w:sz="6" w:space="0"/>
              <w:bottom w:val="single" w:color="E2E8F0" w:sz="6" w:space="0"/>
              <w:right w:val="single" w:color="E2E8F0" w:sz="6" w:space="0"/>
            </w:tcBorders>
          </w:tcPr>
          <w:p w14:paraId="1F053D11">
            <w:pPr>
              <w:pStyle w:val="24"/>
              <w:jc w:val="left"/>
            </w:pPr>
            <w:r>
              <w:rPr>
                <w:rFonts w:ascii="Times New Roman" w:hAnsi="Times New Roman" w:eastAsia="微软雅黑"/>
                <w:sz w:val="22"/>
              </w:rPr>
              <w:t>流动资产 / 流动负债</w:t>
            </w:r>
          </w:p>
        </w:tc>
        <w:tc>
          <w:tcPr>
            <w:tcBorders>
              <w:top w:val="single" w:color="E2E8F0" w:sz="6" w:space="0"/>
              <w:left w:val="single" w:color="E2E8F0" w:sz="6" w:space="0"/>
              <w:bottom w:val="single" w:color="E2E8F0" w:sz="6" w:space="0"/>
              <w:right w:val="single" w:color="E2E8F0" w:sz="6" w:space="0"/>
            </w:tcBorders>
          </w:tcPr>
          <w:p w14:paraId="3052B964">
            <w:pPr>
              <w:pStyle w:val="24"/>
              <w:jc w:val="left"/>
            </w:pPr>
            <w:r>
              <w:rPr>
                <w:rFonts w:ascii="Times New Roman" w:hAnsi="Times New Roman" w:eastAsia="微软雅黑"/>
                <w:sz w:val="22"/>
              </w:rPr>
              <w:t>每1元流动负债有多少流动资产覆盖</w:t>
            </w:r>
          </w:p>
        </w:tc>
        <w:tc>
          <w:tcPr>
            <w:tcBorders>
              <w:top w:val="single" w:color="E2E8F0" w:sz="6" w:space="0"/>
              <w:left w:val="single" w:color="E2E8F0" w:sz="6" w:space="0"/>
              <w:bottom w:val="single" w:color="E2E8F0" w:sz="6" w:space="0"/>
              <w:right w:val="single" w:color="E2E8F0" w:sz="6" w:space="0"/>
            </w:tcBorders>
          </w:tcPr>
          <w:p w14:paraId="36CDBE53">
            <w:pPr>
              <w:pStyle w:val="24"/>
              <w:jc w:val="left"/>
            </w:pPr>
            <w:r>
              <w:rPr>
                <w:rFonts w:ascii="Times New Roman" w:hAnsi="Times New Roman" w:eastAsia="微软雅黑"/>
                <w:sz w:val="22"/>
              </w:rPr>
              <w:t>一般认为2左右较好，低于1需警惕</w:t>
            </w:r>
          </w:p>
        </w:tc>
      </w:tr>
      <w:tr w14:paraId="77ED1F7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7143528">
            <w:pPr>
              <w:pStyle w:val="24"/>
              <w:jc w:val="left"/>
            </w:pPr>
            <w:r>
              <w:rPr>
                <w:rFonts w:ascii="Times New Roman" w:hAnsi="Times New Roman" w:eastAsia="微软雅黑"/>
                <w:sz w:val="22"/>
              </w:rPr>
              <w:t>速动比率</w:t>
            </w:r>
          </w:p>
        </w:tc>
        <w:tc>
          <w:tcPr>
            <w:tcBorders>
              <w:top w:val="single" w:color="E2E8F0" w:sz="6" w:space="0"/>
              <w:left w:val="single" w:color="E2E8F0" w:sz="6" w:space="0"/>
              <w:bottom w:val="single" w:color="E2E8F0" w:sz="6" w:space="0"/>
              <w:right w:val="single" w:color="E2E8F0" w:sz="6" w:space="0"/>
            </w:tcBorders>
            <w:shd w:val="clear" w:color="auto" w:fill="F8FAFC"/>
          </w:tcPr>
          <w:p w14:paraId="6CBDB3D5">
            <w:pPr>
              <w:pStyle w:val="24"/>
              <w:jc w:val="left"/>
            </w:pPr>
            <w:r>
              <w:rPr>
                <w:rFonts w:ascii="Times New Roman" w:hAnsi="Times New Roman" w:eastAsia="微软雅黑"/>
                <w:sz w:val="22"/>
              </w:rPr>
              <w:t>（流动资产-存货）/ 流动负债</w:t>
            </w:r>
          </w:p>
        </w:tc>
        <w:tc>
          <w:tcPr>
            <w:tcBorders>
              <w:top w:val="single" w:color="E2E8F0" w:sz="6" w:space="0"/>
              <w:left w:val="single" w:color="E2E8F0" w:sz="6" w:space="0"/>
              <w:bottom w:val="single" w:color="E2E8F0" w:sz="6" w:space="0"/>
              <w:right w:val="single" w:color="E2E8F0" w:sz="6" w:space="0"/>
            </w:tcBorders>
            <w:shd w:val="clear" w:color="auto" w:fill="F8FAFC"/>
          </w:tcPr>
          <w:p w14:paraId="70C00148">
            <w:pPr>
              <w:pStyle w:val="24"/>
              <w:jc w:val="left"/>
            </w:pPr>
            <w:r>
              <w:rPr>
                <w:rFonts w:ascii="Times New Roman" w:hAnsi="Times New Roman" w:eastAsia="微软雅黑"/>
                <w:sz w:val="22"/>
              </w:rPr>
              <w:t>剔除变现最慢的存货后的覆盖能力</w:t>
            </w:r>
          </w:p>
        </w:tc>
        <w:tc>
          <w:tcPr>
            <w:tcBorders>
              <w:top w:val="single" w:color="E2E8F0" w:sz="6" w:space="0"/>
              <w:left w:val="single" w:color="E2E8F0" w:sz="6" w:space="0"/>
              <w:bottom w:val="single" w:color="E2E8F0" w:sz="6" w:space="0"/>
              <w:right w:val="single" w:color="E2E8F0" w:sz="6" w:space="0"/>
            </w:tcBorders>
            <w:shd w:val="clear" w:color="auto" w:fill="F8FAFC"/>
          </w:tcPr>
          <w:p w14:paraId="1E306356">
            <w:pPr>
              <w:pStyle w:val="24"/>
              <w:jc w:val="left"/>
            </w:pPr>
            <w:r>
              <w:rPr>
                <w:rFonts w:ascii="Times New Roman" w:hAnsi="Times New Roman" w:eastAsia="微软雅黑"/>
                <w:sz w:val="22"/>
              </w:rPr>
              <w:t>一般参考值为1左右</w:t>
            </w:r>
          </w:p>
        </w:tc>
      </w:tr>
      <w:tr w14:paraId="6C5C071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0B71C0C">
            <w:pPr>
              <w:pStyle w:val="24"/>
              <w:jc w:val="left"/>
            </w:pPr>
            <w:r>
              <w:rPr>
                <w:rFonts w:ascii="Times New Roman" w:hAnsi="Times New Roman" w:eastAsia="微软雅黑"/>
                <w:sz w:val="22"/>
              </w:rPr>
              <w:t>现金比率</w:t>
            </w:r>
          </w:p>
        </w:tc>
        <w:tc>
          <w:tcPr>
            <w:tcBorders>
              <w:top w:val="single" w:color="E2E8F0" w:sz="6" w:space="0"/>
              <w:left w:val="single" w:color="E2E8F0" w:sz="6" w:space="0"/>
              <w:bottom w:val="single" w:color="E2E8F0" w:sz="6" w:space="0"/>
              <w:right w:val="single" w:color="E2E8F0" w:sz="6" w:space="0"/>
            </w:tcBorders>
          </w:tcPr>
          <w:p w14:paraId="4CA49D8C">
            <w:pPr>
              <w:pStyle w:val="24"/>
              <w:jc w:val="left"/>
            </w:pPr>
            <w:r>
              <w:rPr>
                <w:rFonts w:ascii="Times New Roman" w:hAnsi="Times New Roman" w:eastAsia="微软雅黑"/>
                <w:sz w:val="22"/>
              </w:rPr>
              <w:t>（货币资金+短期投资）/ 流动负债</w:t>
            </w:r>
          </w:p>
        </w:tc>
        <w:tc>
          <w:tcPr>
            <w:tcBorders>
              <w:top w:val="single" w:color="E2E8F0" w:sz="6" w:space="0"/>
              <w:left w:val="single" w:color="E2E8F0" w:sz="6" w:space="0"/>
              <w:bottom w:val="single" w:color="E2E8F0" w:sz="6" w:space="0"/>
              <w:right w:val="single" w:color="E2E8F0" w:sz="6" w:space="0"/>
            </w:tcBorders>
          </w:tcPr>
          <w:p w14:paraId="29820A11">
            <w:pPr>
              <w:pStyle w:val="24"/>
              <w:jc w:val="left"/>
            </w:pPr>
            <w:r>
              <w:rPr>
                <w:rFonts w:ascii="Times New Roman" w:hAnsi="Times New Roman" w:eastAsia="微软雅黑"/>
                <w:sz w:val="22"/>
              </w:rPr>
              <w:t>最保守的偿债能力衡量，只计入最易变现的资产</w:t>
            </w:r>
          </w:p>
        </w:tc>
        <w:tc>
          <w:tcPr>
            <w:tcBorders>
              <w:top w:val="single" w:color="E2E8F0" w:sz="6" w:space="0"/>
              <w:left w:val="single" w:color="E2E8F0" w:sz="6" w:space="0"/>
              <w:bottom w:val="single" w:color="E2E8F0" w:sz="6" w:space="0"/>
              <w:right w:val="single" w:color="E2E8F0" w:sz="6" w:space="0"/>
            </w:tcBorders>
          </w:tcPr>
          <w:p w14:paraId="375FB0A3">
            <w:pPr>
              <w:pStyle w:val="24"/>
              <w:jc w:val="left"/>
            </w:pPr>
            <w:r>
              <w:rPr>
                <w:rFonts w:ascii="Times New Roman" w:hAnsi="Times New Roman" w:eastAsia="微软雅黑"/>
                <w:sz w:val="22"/>
              </w:rPr>
              <w:t>因行业差异大，参考意义有限</w:t>
            </w:r>
          </w:p>
        </w:tc>
      </w:tr>
    </w:tbl>
    <w:p w14:paraId="0138247F">
      <w:pPr>
        <w:pStyle w:val="3"/>
      </w:pPr>
      <w:r>
        <w:rPr>
          <w:rFonts w:ascii="Times New Roman" w:hAnsi="Times New Roman" w:eastAsia="微软雅黑"/>
          <w:sz w:val="24"/>
        </w:rPr>
        <w:t>三个指标的关系是递进的：流动比率→速动比率→现金比率，流动性越来越严格，分子里包含的资产范围越来越窄，见图7-2。</w:t>
      </w:r>
    </w:p>
    <w:p w14:paraId="0713D6D0">
      <w:pPr>
        <w:pStyle w:val="35"/>
      </w:pPr>
      <w:r>
        <w:drawing>
          <wp:inline distT="0" distB="0" distL="114300" distR="114300">
            <wp:extent cx="4800600" cy="1701800"/>
            <wp:effectExtent l="0" t="0" r="0" b="0"/>
            <wp:docPr id="3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descr="mermaid diagram"/>
                    <pic:cNvPicPr>
                      <a:picLocks noChangeAspect="1" noChangeArrowheads="1"/>
                    </pic:cNvPicPr>
                  </pic:nvPicPr>
                  <pic:blipFill>
                    <a:blip r:embed="rId6"/>
                    <a:stretch>
                      <a:fillRect/>
                    </a:stretch>
                  </pic:blipFill>
                  <pic:spPr>
                    <a:xfrm>
                      <a:off x="0" y="0"/>
                      <a:ext cx="4800600" cy="1702253"/>
                    </a:xfrm>
                    <a:prstGeom prst="rect">
                      <a:avLst/>
                    </a:prstGeom>
                    <a:noFill/>
                    <a:ln w="9525">
                      <a:noFill/>
                    </a:ln>
                  </pic:spPr>
                </pic:pic>
              </a:graphicData>
            </a:graphic>
          </wp:inline>
        </w:drawing>
      </w:r>
    </w:p>
    <w:p w14:paraId="49BA8EDF">
      <w:pPr>
        <w:jc w:val="center"/>
        <w:pStyle w:val="3"/>
      </w:pPr>
      <w:r>
        <w:rPr>
          <w:rFonts w:ascii="Times New Roman" w:hAnsi="Times New Roman" w:eastAsia="微软雅黑"/>
          <w:sz w:val="24"/>
        </w:rPr>
        <w:t>图7-2 三个短期偿债能力指标的递进关系</w:t>
      </w:r>
    </w:p>
    <w:bookmarkEnd w:id="11"/>
    <w:p w14:paraId="26A90E82">
      <w:pPr>
        <w:pStyle w:val="5"/>
      </w:pPr>
      <w:bookmarkStart w:id="12" w:name="用案例理解三个指标的差异"/>
      <w:r>
        <w:rPr>
          <w:rFonts w:ascii="Times New Roman" w:hAnsi="Times New Roman" w:eastAsia="微软雅黑"/>
          <w:sz w:val="24"/>
        </w:rPr>
        <w:t>2. 用案例理解三个指标的差异</w:t>
      </w:r>
    </w:p>
    <w:p w14:paraId="50D4B65A">
      <w:pPr>
        <w:pStyle w:val="23"/>
      </w:pPr>
      <w:r>
        <w:rPr>
          <w:rFonts w:ascii="Times New Roman" w:hAnsi="Times New Roman" w:eastAsia="微软雅黑"/>
          <w:sz w:val="24"/>
        </w:rPr>
        <w:t>以情景导入中的A公司和B公司为例，假设两家公司的资产负债表关键数据如下，见表7-2。</w:t>
      </w:r>
    </w:p>
    <w:p w14:paraId="0A54AC9F">
      <w:pPr>
        <w:jc w:val="center"/>
        <w:pStyle w:val="3"/>
      </w:pPr>
      <w:r>
        <w:rPr>
          <w:rFonts w:ascii="Times New Roman" w:hAnsi="Times New Roman" w:eastAsia="微软雅黑"/>
          <w:b/>
          <w:bCs/>
          <w:sz w:val="24"/>
        </w:rPr>
        <w:t>表7-2 A公司与B公司资产负债表关键数据（万元）</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36"/>
        <w:gridCol w:w="862"/>
        <w:gridCol w:w="850"/>
      </w:tblGrid>
      <w:tr w14:paraId="7A8345D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9C623AA">
            <w:pPr>
              <w:pStyle w:val="24"/>
              <w:jc w:val="left"/>
            </w:pPr>
            <w:r>
              <w:rPr>
                <w:rFonts w:ascii="Times New Roman" w:hAnsi="Times New Roman" w:eastAsia="微软雅黑"/>
                <w:b/>
                <w:color w:val="1E3A8A"/>
                <w:sz w:val="22"/>
              </w:rPr>
              <w:t>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141C9D08">
            <w:pPr>
              <w:pStyle w:val="24"/>
              <w:jc w:val="left"/>
            </w:pPr>
            <w:r>
              <w:rPr>
                <w:rFonts w:ascii="Times New Roman" w:hAnsi="Times New Roman" w:eastAsia="微软雅黑"/>
                <w:b/>
                <w:color w:val="1E3A8A"/>
                <w:sz w:val="22"/>
              </w:rPr>
              <w:t>A公司</w:t>
            </w:r>
          </w:p>
        </w:tc>
        <w:tc>
          <w:tcPr>
            <w:tcBorders>
              <w:top w:val="single" w:color="E2E8F0" w:sz="6" w:space="0"/>
              <w:left w:val="single" w:color="E2E8F0" w:sz="6" w:space="0"/>
              <w:bottom w:val="single" w:color="E2E8F0" w:sz="6" w:space="0"/>
              <w:right w:val="single" w:color="E2E8F0" w:sz="6" w:space="0"/>
            </w:tcBorders>
            <w:shd w:val="clear" w:color="auto" w:fill="EEF4FF"/>
          </w:tcPr>
          <w:p w14:paraId="4AAF35BD">
            <w:pPr>
              <w:pStyle w:val="24"/>
              <w:jc w:val="left"/>
            </w:pPr>
            <w:r>
              <w:rPr>
                <w:rFonts w:ascii="Times New Roman" w:hAnsi="Times New Roman" w:eastAsia="微软雅黑"/>
                <w:b/>
                <w:color w:val="1E3A8A"/>
                <w:sz w:val="22"/>
              </w:rPr>
              <w:t>B公司</w:t>
            </w:r>
          </w:p>
        </w:tc>
      </w:tr>
      <w:tr w14:paraId="746C906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BB129E5">
            <w:pPr>
              <w:pStyle w:val="24"/>
              <w:jc w:val="left"/>
            </w:pPr>
            <w:r>
              <w:rPr>
                <w:rFonts w:ascii="Times New Roman" w:hAnsi="Times New Roman" w:eastAsia="微软雅黑"/>
                <w:sz w:val="22"/>
              </w:rPr>
              <w:t>货币资金</w:t>
            </w:r>
          </w:p>
        </w:tc>
        <w:tc>
          <w:tcPr>
            <w:tcBorders>
              <w:top w:val="single" w:color="E2E8F0" w:sz="6" w:space="0"/>
              <w:left w:val="single" w:color="E2E8F0" w:sz="6" w:space="0"/>
              <w:bottom w:val="single" w:color="E2E8F0" w:sz="6" w:space="0"/>
              <w:right w:val="single" w:color="E2E8F0" w:sz="6" w:space="0"/>
            </w:tcBorders>
          </w:tcPr>
          <w:p w14:paraId="689B155C">
            <w:pPr>
              <w:pStyle w:val="24"/>
              <w:jc w:val="left"/>
            </w:pPr>
            <w:r>
              <w:rPr>
                <w:rFonts w:ascii="Times New Roman" w:hAnsi="Times New Roman" w:eastAsia="微软雅黑"/>
                <w:sz w:val="22"/>
              </w:rPr>
              <w:t>180</w:t>
            </w:r>
          </w:p>
        </w:tc>
        <w:tc>
          <w:tcPr>
            <w:tcBorders>
              <w:top w:val="single" w:color="E2E8F0" w:sz="6" w:space="0"/>
              <w:left w:val="single" w:color="E2E8F0" w:sz="6" w:space="0"/>
              <w:bottom w:val="single" w:color="E2E8F0" w:sz="6" w:space="0"/>
              <w:right w:val="single" w:color="E2E8F0" w:sz="6" w:space="0"/>
            </w:tcBorders>
          </w:tcPr>
          <w:p w14:paraId="6D2FE991">
            <w:pPr>
              <w:pStyle w:val="24"/>
              <w:jc w:val="left"/>
            </w:pPr>
            <w:r>
              <w:rPr>
                <w:rFonts w:ascii="Times New Roman" w:hAnsi="Times New Roman" w:eastAsia="微软雅黑"/>
                <w:sz w:val="22"/>
              </w:rPr>
              <w:t>95</w:t>
            </w:r>
          </w:p>
        </w:tc>
      </w:tr>
      <w:tr w14:paraId="7799308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3366536">
            <w:pPr>
              <w:pStyle w:val="24"/>
              <w:jc w:val="left"/>
            </w:pPr>
            <w:r>
              <w:rPr>
                <w:rFonts w:ascii="Times New Roman" w:hAnsi="Times New Roman" w:eastAsia="微软雅黑"/>
                <w:sz w:val="22"/>
              </w:rPr>
              <w:t>应收账款</w:t>
            </w:r>
          </w:p>
        </w:tc>
        <w:tc>
          <w:tcPr>
            <w:tcBorders>
              <w:top w:val="single" w:color="E2E8F0" w:sz="6" w:space="0"/>
              <w:left w:val="single" w:color="E2E8F0" w:sz="6" w:space="0"/>
              <w:bottom w:val="single" w:color="E2E8F0" w:sz="6" w:space="0"/>
              <w:right w:val="single" w:color="E2E8F0" w:sz="6" w:space="0"/>
            </w:tcBorders>
            <w:shd w:val="clear" w:color="auto" w:fill="F8FAFC"/>
          </w:tcPr>
          <w:p w14:paraId="0B1271AA">
            <w:pPr>
              <w:pStyle w:val="24"/>
              <w:jc w:val="left"/>
            </w:pPr>
            <w:r>
              <w:rPr>
                <w:rFonts w:ascii="Times New Roman" w:hAnsi="Times New Roman" w:eastAsia="微软雅黑"/>
                <w:sz w:val="22"/>
              </w:rPr>
              <w:t>210</w:t>
            </w:r>
          </w:p>
        </w:tc>
        <w:tc>
          <w:tcPr>
            <w:tcBorders>
              <w:top w:val="single" w:color="E2E8F0" w:sz="6" w:space="0"/>
              <w:left w:val="single" w:color="E2E8F0" w:sz="6" w:space="0"/>
              <w:bottom w:val="single" w:color="E2E8F0" w:sz="6" w:space="0"/>
              <w:right w:val="single" w:color="E2E8F0" w:sz="6" w:space="0"/>
            </w:tcBorders>
            <w:shd w:val="clear" w:color="auto" w:fill="F8FAFC"/>
          </w:tcPr>
          <w:p w14:paraId="745D55DA">
            <w:pPr>
              <w:pStyle w:val="24"/>
              <w:jc w:val="left"/>
            </w:pPr>
            <w:r>
              <w:rPr>
                <w:rFonts w:ascii="Times New Roman" w:hAnsi="Times New Roman" w:eastAsia="微软雅黑"/>
                <w:sz w:val="22"/>
              </w:rPr>
              <w:t>420</w:t>
            </w:r>
          </w:p>
        </w:tc>
      </w:tr>
      <w:tr w14:paraId="728FD32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54B6CA5">
            <w:pPr>
              <w:pStyle w:val="24"/>
              <w:jc w:val="left"/>
            </w:pPr>
            <w:r>
              <w:rPr>
                <w:rFonts w:ascii="Times New Roman" w:hAnsi="Times New Roman" w:eastAsia="微软雅黑"/>
                <w:sz w:val="22"/>
              </w:rPr>
              <w:t>存货</w:t>
            </w:r>
          </w:p>
        </w:tc>
        <w:tc>
          <w:tcPr>
            <w:tcBorders>
              <w:top w:val="single" w:color="E2E8F0" w:sz="6" w:space="0"/>
              <w:left w:val="single" w:color="E2E8F0" w:sz="6" w:space="0"/>
              <w:bottom w:val="single" w:color="E2E8F0" w:sz="6" w:space="0"/>
              <w:right w:val="single" w:color="E2E8F0" w:sz="6" w:space="0"/>
            </w:tcBorders>
          </w:tcPr>
          <w:p w14:paraId="7D4069D7">
            <w:pPr>
              <w:pStyle w:val="24"/>
              <w:jc w:val="left"/>
            </w:pPr>
            <w:r>
              <w:rPr>
                <w:rFonts w:ascii="Times New Roman" w:hAnsi="Times New Roman" w:eastAsia="微软雅黑"/>
                <w:sz w:val="22"/>
              </w:rPr>
              <w:t>150</w:t>
            </w:r>
          </w:p>
        </w:tc>
        <w:tc>
          <w:tcPr>
            <w:tcBorders>
              <w:top w:val="single" w:color="E2E8F0" w:sz="6" w:space="0"/>
              <w:left w:val="single" w:color="E2E8F0" w:sz="6" w:space="0"/>
              <w:bottom w:val="single" w:color="E2E8F0" w:sz="6" w:space="0"/>
              <w:right w:val="single" w:color="E2E8F0" w:sz="6" w:space="0"/>
            </w:tcBorders>
          </w:tcPr>
          <w:p w14:paraId="3793D4D4">
            <w:pPr>
              <w:pStyle w:val="24"/>
              <w:jc w:val="left"/>
            </w:pPr>
            <w:r>
              <w:rPr>
                <w:rFonts w:ascii="Times New Roman" w:hAnsi="Times New Roman" w:eastAsia="微软雅黑"/>
                <w:sz w:val="22"/>
              </w:rPr>
              <w:t>380</w:t>
            </w:r>
          </w:p>
        </w:tc>
      </w:tr>
      <w:tr w14:paraId="7B7DD7E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C3F2173">
            <w:pPr>
              <w:pStyle w:val="24"/>
              <w:jc w:val="left"/>
            </w:pPr>
            <w:r>
              <w:rPr>
                <w:rFonts w:ascii="Times New Roman" w:hAnsi="Times New Roman" w:eastAsia="微软雅黑"/>
                <w:sz w:val="22"/>
              </w:rPr>
              <w:t>流动资产合计</w:t>
            </w:r>
          </w:p>
        </w:tc>
        <w:tc>
          <w:tcPr>
            <w:tcBorders>
              <w:top w:val="single" w:color="E2E8F0" w:sz="6" w:space="0"/>
              <w:left w:val="single" w:color="E2E8F0" w:sz="6" w:space="0"/>
              <w:bottom w:val="single" w:color="E2E8F0" w:sz="6" w:space="0"/>
              <w:right w:val="single" w:color="E2E8F0" w:sz="6" w:space="0"/>
            </w:tcBorders>
            <w:shd w:val="clear" w:color="auto" w:fill="F8FAFC"/>
          </w:tcPr>
          <w:p w14:paraId="2DCF88A6">
            <w:pPr>
              <w:pStyle w:val="24"/>
              <w:jc w:val="left"/>
            </w:pPr>
            <w:r>
              <w:rPr>
                <w:rFonts w:ascii="Times New Roman" w:hAnsi="Times New Roman" w:eastAsia="微软雅黑"/>
                <w:sz w:val="22"/>
              </w:rPr>
              <w:t>630</w:t>
            </w:r>
          </w:p>
        </w:tc>
        <w:tc>
          <w:tcPr>
            <w:tcBorders>
              <w:top w:val="single" w:color="E2E8F0" w:sz="6" w:space="0"/>
              <w:left w:val="single" w:color="E2E8F0" w:sz="6" w:space="0"/>
              <w:bottom w:val="single" w:color="E2E8F0" w:sz="6" w:space="0"/>
              <w:right w:val="single" w:color="E2E8F0" w:sz="6" w:space="0"/>
            </w:tcBorders>
            <w:shd w:val="clear" w:color="auto" w:fill="F8FAFC"/>
          </w:tcPr>
          <w:p w14:paraId="5FC3C9DB">
            <w:pPr>
              <w:pStyle w:val="24"/>
              <w:jc w:val="left"/>
            </w:pPr>
            <w:r>
              <w:rPr>
                <w:rFonts w:ascii="Times New Roman" w:hAnsi="Times New Roman" w:eastAsia="微软雅黑"/>
                <w:sz w:val="22"/>
              </w:rPr>
              <w:t>1050</w:t>
            </w:r>
          </w:p>
        </w:tc>
      </w:tr>
      <w:tr w14:paraId="4B11BBA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30C04F5">
            <w:pPr>
              <w:pStyle w:val="24"/>
              <w:jc w:val="left"/>
            </w:pPr>
            <w:r>
              <w:rPr>
                <w:rFonts w:ascii="Times New Roman" w:hAnsi="Times New Roman" w:eastAsia="微软雅黑"/>
                <w:sz w:val="22"/>
              </w:rPr>
              <w:t>流动负债合计</w:t>
            </w:r>
          </w:p>
        </w:tc>
        <w:tc>
          <w:tcPr>
            <w:tcBorders>
              <w:top w:val="single" w:color="E2E8F0" w:sz="6" w:space="0"/>
              <w:left w:val="single" w:color="E2E8F0" w:sz="6" w:space="0"/>
              <w:bottom w:val="single" w:color="E2E8F0" w:sz="6" w:space="0"/>
              <w:right w:val="single" w:color="E2E8F0" w:sz="6" w:space="0"/>
            </w:tcBorders>
          </w:tcPr>
          <w:p w14:paraId="4AB04632">
            <w:pPr>
              <w:pStyle w:val="24"/>
              <w:jc w:val="left"/>
            </w:pPr>
            <w:r>
              <w:rPr>
                <w:rFonts w:ascii="Times New Roman" w:hAnsi="Times New Roman" w:eastAsia="微软雅黑"/>
                <w:sz w:val="22"/>
              </w:rPr>
              <w:t>300</w:t>
            </w:r>
          </w:p>
        </w:tc>
        <w:tc>
          <w:tcPr>
            <w:tcBorders>
              <w:top w:val="single" w:color="E2E8F0" w:sz="6" w:space="0"/>
              <w:left w:val="single" w:color="E2E8F0" w:sz="6" w:space="0"/>
              <w:bottom w:val="single" w:color="E2E8F0" w:sz="6" w:space="0"/>
              <w:right w:val="single" w:color="E2E8F0" w:sz="6" w:space="0"/>
            </w:tcBorders>
          </w:tcPr>
          <w:p w14:paraId="731F23BC">
            <w:pPr>
              <w:pStyle w:val="24"/>
              <w:jc w:val="left"/>
            </w:pPr>
            <w:r>
              <w:rPr>
                <w:rFonts w:ascii="Times New Roman" w:hAnsi="Times New Roman" w:eastAsia="微软雅黑"/>
                <w:sz w:val="22"/>
              </w:rPr>
              <w:t>1150</w:t>
            </w:r>
          </w:p>
        </w:tc>
      </w:tr>
    </w:tbl>
    <w:p w14:paraId="78C449B6">
      <w:pPr>
        <w:pStyle w:val="3"/>
      </w:pPr>
      <w:r>
        <w:rPr>
          <w:rFonts w:ascii="Times New Roman" w:hAnsi="Times New Roman" w:eastAsia="微软雅黑"/>
          <w:sz w:val="24"/>
        </w:rPr>
        <w:t>基于以上数据，三个指标的计算结果见表7-3。</w:t>
      </w:r>
    </w:p>
    <w:p w14:paraId="45ACDD2B">
      <w:pPr>
        <w:jc w:val="center"/>
        <w:pStyle w:val="3"/>
      </w:pPr>
      <w:r>
        <w:rPr>
          <w:rFonts w:ascii="Times New Roman" w:hAnsi="Times New Roman" w:eastAsia="微软雅黑"/>
          <w:b/>
          <w:bCs/>
          <w:sz w:val="24"/>
        </w:rPr>
        <w:t>表7-3 A公司与B公司短期偿债能力指标计算</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82"/>
        <w:gridCol w:w="1696"/>
        <w:gridCol w:w="1182"/>
        <w:gridCol w:w="1916"/>
        <w:gridCol w:w="1172"/>
        <w:gridCol w:w="1908"/>
      </w:tblGrid>
      <w:tr w14:paraId="370FAF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3C6BF47">
            <w:pPr>
              <w:pStyle w:val="24"/>
              <w:jc w:val="left"/>
            </w:pPr>
            <w:r>
              <w:rPr>
                <w:rFonts w:ascii="Times New Roman" w:hAnsi="Times New Roman" w:eastAsia="微软雅黑"/>
                <w:b/>
                <w:color w:val="1E3A8A"/>
                <w:sz w:val="22"/>
              </w:rPr>
              <w:t>指标</w:t>
            </w:r>
          </w:p>
        </w:tc>
        <w:tc>
          <w:tcPr>
            <w:tcBorders>
              <w:top w:val="single" w:color="E2E8F0" w:sz="6" w:space="0"/>
              <w:left w:val="single" w:color="E2E8F0" w:sz="6" w:space="0"/>
              <w:bottom w:val="single" w:color="E2E8F0" w:sz="6" w:space="0"/>
              <w:right w:val="single" w:color="E2E8F0" w:sz="6" w:space="0"/>
            </w:tcBorders>
            <w:shd w:val="clear" w:color="auto" w:fill="EEF4FF"/>
          </w:tcPr>
          <w:p w14:paraId="4DC792BB">
            <w:pPr>
              <w:pStyle w:val="24"/>
              <w:jc w:val="left"/>
            </w:pPr>
            <w:r>
              <w:rPr>
                <w:rFonts w:ascii="Times New Roman" w:hAnsi="Times New Roman" w:eastAsia="微软雅黑"/>
                <w:b/>
                <w:color w:val="1E3A8A"/>
                <w:sz w:val="22"/>
              </w:rPr>
              <w:t>A公司计算</w:t>
            </w:r>
          </w:p>
        </w:tc>
        <w:tc>
          <w:tcPr>
            <w:tcBorders>
              <w:top w:val="single" w:color="E2E8F0" w:sz="6" w:space="0"/>
              <w:left w:val="single" w:color="E2E8F0" w:sz="6" w:space="0"/>
              <w:bottom w:val="single" w:color="E2E8F0" w:sz="6" w:space="0"/>
              <w:right w:val="single" w:color="E2E8F0" w:sz="6" w:space="0"/>
            </w:tcBorders>
            <w:shd w:val="clear" w:color="auto" w:fill="EEF4FF"/>
          </w:tcPr>
          <w:p w14:paraId="4A62E453">
            <w:pPr>
              <w:pStyle w:val="24"/>
              <w:jc w:val="left"/>
            </w:pPr>
            <w:r>
              <w:rPr>
                <w:rFonts w:ascii="Times New Roman" w:hAnsi="Times New Roman" w:eastAsia="微软雅黑"/>
                <w:b/>
                <w:color w:val="1E3A8A"/>
                <w:sz w:val="22"/>
              </w:rPr>
              <w:t>A公司结果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56A527AF">
            <w:pPr>
              <w:pStyle w:val="24"/>
              <w:jc w:val="left"/>
            </w:pPr>
            <w:r>
              <w:rPr>
                <w:rFonts w:ascii="Times New Roman" w:hAnsi="Times New Roman" w:eastAsia="微软雅黑"/>
                <w:b/>
                <w:color w:val="1E3A8A"/>
                <w:sz w:val="22"/>
              </w:rPr>
              <w:t>B公司计算</w:t>
            </w:r>
          </w:p>
        </w:tc>
        <w:tc>
          <w:tcPr>
            <w:tcBorders>
              <w:top w:val="single" w:color="E2E8F0" w:sz="6" w:space="0"/>
              <w:left w:val="single" w:color="E2E8F0" w:sz="6" w:space="0"/>
              <w:bottom w:val="single" w:color="E2E8F0" w:sz="6" w:space="0"/>
              <w:right w:val="single" w:color="E2E8F0" w:sz="6" w:space="0"/>
            </w:tcBorders>
            <w:shd w:val="clear" w:color="auto" w:fill="EEF4FF"/>
          </w:tcPr>
          <w:p w14:paraId="456594B5">
            <w:pPr>
              <w:pStyle w:val="24"/>
              <w:jc w:val="left"/>
            </w:pPr>
            <w:r>
              <w:rPr>
                <w:rFonts w:ascii="Times New Roman" w:hAnsi="Times New Roman" w:eastAsia="微软雅黑"/>
                <w:b/>
                <w:color w:val="1E3A8A"/>
                <w:sz w:val="22"/>
              </w:rPr>
              <w:t>B公司结果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02ECAC94">
            <w:pPr>
              <w:pStyle w:val="24"/>
              <w:jc w:val="left"/>
            </w:pPr>
            <w:r>
              <w:rPr>
                <w:rFonts w:ascii="Times New Roman" w:hAnsi="Times New Roman" w:eastAsia="微软雅黑"/>
                <w:b/>
                <w:color w:val="1E3A8A"/>
                <w:sz w:val="22"/>
              </w:rPr>
              <w:t>评价</w:t>
            </w:r>
          </w:p>
        </w:tc>
      </w:tr>
      <w:tr w14:paraId="79C93E6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3EFED34">
            <w:pPr>
              <w:pStyle w:val="24"/>
              <w:jc w:val="left"/>
            </w:pPr>
            <w:r>
              <w:rPr>
                <w:rFonts w:ascii="Times New Roman" w:hAnsi="Times New Roman" w:eastAsia="微软雅黑"/>
                <w:sz w:val="22"/>
              </w:rPr>
              <w:t>流动比率</w:t>
            </w:r>
          </w:p>
        </w:tc>
        <w:tc>
          <w:tcPr>
            <w:tcBorders>
              <w:top w:val="single" w:color="E2E8F0" w:sz="6" w:space="0"/>
              <w:left w:val="single" w:color="E2E8F0" w:sz="6" w:space="0"/>
              <w:bottom w:val="single" w:color="E2E8F0" w:sz="6" w:space="0"/>
              <w:right w:val="single" w:color="E2E8F0" w:sz="6" w:space="0"/>
            </w:tcBorders>
          </w:tcPr>
          <w:p w14:paraId="27BBAE8F">
            <w:pPr>
              <w:pStyle w:val="24"/>
              <w:jc w:val="left"/>
            </w:pPr>
            <w:r>
              <w:rPr>
                <w:rFonts w:ascii="Times New Roman" w:hAnsi="Times New Roman" w:eastAsia="微软雅黑"/>
                <w:sz w:val="22"/>
              </w:rPr>
              <w:t>630÷300</w:t>
            </w:r>
          </w:p>
        </w:tc>
        <w:tc>
          <w:tcPr>
            <w:tcBorders>
              <w:top w:val="single" w:color="E2E8F0" w:sz="6" w:space="0"/>
              <w:left w:val="single" w:color="E2E8F0" w:sz="6" w:space="0"/>
              <w:bottom w:val="single" w:color="E2E8F0" w:sz="6" w:space="0"/>
              <w:right w:val="single" w:color="E2E8F0" w:sz="6" w:space="0"/>
            </w:tcBorders>
          </w:tcPr>
          <w:p w14:paraId="165529E1">
            <w:pPr>
              <w:pStyle w:val="24"/>
              <w:jc w:val="left"/>
            </w:pPr>
            <w:r>
              <w:rPr>
                <w:rFonts w:ascii="Times New Roman" w:hAnsi="Times New Roman" w:eastAsia="微软雅黑"/>
                <w:sz w:val="22"/>
              </w:rPr>
              <w:t>2.10</w:t>
            </w:r>
          </w:p>
        </w:tc>
        <w:tc>
          <w:tcPr>
            <w:tcBorders>
              <w:top w:val="single" w:color="E2E8F0" w:sz="6" w:space="0"/>
              <w:left w:val="single" w:color="E2E8F0" w:sz="6" w:space="0"/>
              <w:bottom w:val="single" w:color="E2E8F0" w:sz="6" w:space="0"/>
              <w:right w:val="single" w:color="E2E8F0" w:sz="6" w:space="0"/>
            </w:tcBorders>
          </w:tcPr>
          <w:p w14:paraId="0292F9DE">
            <w:pPr>
              <w:pStyle w:val="24"/>
              <w:jc w:val="left"/>
            </w:pPr>
            <w:r>
              <w:rPr>
                <w:rFonts w:ascii="Times New Roman" w:hAnsi="Times New Roman" w:eastAsia="微软雅黑"/>
                <w:sz w:val="22"/>
              </w:rPr>
              <w:t>1050÷1150</w:t>
            </w:r>
          </w:p>
        </w:tc>
        <w:tc>
          <w:tcPr>
            <w:tcBorders>
              <w:top w:val="single" w:color="E2E8F0" w:sz="6" w:space="0"/>
              <w:left w:val="single" w:color="E2E8F0" w:sz="6" w:space="0"/>
              <w:bottom w:val="single" w:color="E2E8F0" w:sz="6" w:space="0"/>
              <w:right w:val="single" w:color="E2E8F0" w:sz="6" w:space="0"/>
            </w:tcBorders>
          </w:tcPr>
          <w:p w14:paraId="1C60FC3F">
            <w:pPr>
              <w:pStyle w:val="24"/>
              <w:jc w:val="left"/>
            </w:pPr>
            <w:r>
              <w:rPr>
                <w:rFonts w:ascii="Times New Roman" w:hAnsi="Times New Roman" w:eastAsia="微软雅黑"/>
                <w:sz w:val="22"/>
              </w:rPr>
              <w:t>0.91</w:t>
            </w:r>
          </w:p>
        </w:tc>
        <w:tc>
          <w:tcPr>
            <w:tcBorders>
              <w:top w:val="single" w:color="E2E8F0" w:sz="6" w:space="0"/>
              <w:left w:val="single" w:color="E2E8F0" w:sz="6" w:space="0"/>
              <w:bottom w:val="single" w:color="E2E8F0" w:sz="6" w:space="0"/>
              <w:right w:val="single" w:color="E2E8F0" w:sz="6" w:space="0"/>
            </w:tcBorders>
          </w:tcPr>
          <w:p w14:paraId="3A58A4BB">
            <w:pPr>
              <w:pStyle w:val="24"/>
              <w:jc w:val="left"/>
            </w:pPr>
            <w:r>
              <w:rPr>
                <w:rFonts w:ascii="Times New Roman" w:hAnsi="Times New Roman" w:eastAsia="微软雅黑"/>
                <w:sz w:val="22"/>
              </w:rPr>
              <w:t>A公司明显更健康</w:t>
            </w:r>
          </w:p>
        </w:tc>
      </w:tr>
      <w:tr w14:paraId="561EE08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0164F9A">
            <w:pPr>
              <w:pStyle w:val="24"/>
              <w:jc w:val="left"/>
            </w:pPr>
            <w:r>
              <w:rPr>
                <w:rFonts w:ascii="Times New Roman" w:hAnsi="Times New Roman" w:eastAsia="微软雅黑"/>
                <w:sz w:val="22"/>
              </w:rPr>
              <w:t>速动比率</w:t>
            </w:r>
          </w:p>
        </w:tc>
        <w:tc>
          <w:tcPr>
            <w:tcBorders>
              <w:top w:val="single" w:color="E2E8F0" w:sz="6" w:space="0"/>
              <w:left w:val="single" w:color="E2E8F0" w:sz="6" w:space="0"/>
              <w:bottom w:val="single" w:color="E2E8F0" w:sz="6" w:space="0"/>
              <w:right w:val="single" w:color="E2E8F0" w:sz="6" w:space="0"/>
            </w:tcBorders>
            <w:shd w:val="clear" w:color="auto" w:fill="F8FAFC"/>
          </w:tcPr>
          <w:p w14:paraId="7EDC27C5">
            <w:pPr>
              <w:pStyle w:val="24"/>
              <w:jc w:val="left"/>
            </w:pPr>
            <w:r>
              <w:rPr>
                <w:rFonts w:ascii="Times New Roman" w:hAnsi="Times New Roman" w:eastAsia="微软雅黑"/>
                <w:sz w:val="22"/>
              </w:rPr>
              <w:t>（630-150）÷300</w:t>
            </w:r>
          </w:p>
        </w:tc>
        <w:tc>
          <w:tcPr>
            <w:tcBorders>
              <w:top w:val="single" w:color="E2E8F0" w:sz="6" w:space="0"/>
              <w:left w:val="single" w:color="E2E8F0" w:sz="6" w:space="0"/>
              <w:bottom w:val="single" w:color="E2E8F0" w:sz="6" w:space="0"/>
              <w:right w:val="single" w:color="E2E8F0" w:sz="6" w:space="0"/>
            </w:tcBorders>
            <w:shd w:val="clear" w:color="auto" w:fill="F8FAFC"/>
          </w:tcPr>
          <w:p w14:paraId="25018D23">
            <w:pPr>
              <w:pStyle w:val="24"/>
              <w:jc w:val="left"/>
            </w:pPr>
            <w:r>
              <w:rPr>
                <w:rFonts w:ascii="Times New Roman" w:hAnsi="Times New Roman" w:eastAsia="微软雅黑"/>
                <w:sz w:val="22"/>
              </w:rPr>
              <w:t>1.60</w:t>
            </w:r>
          </w:p>
        </w:tc>
        <w:tc>
          <w:tcPr>
            <w:tcBorders>
              <w:top w:val="single" w:color="E2E8F0" w:sz="6" w:space="0"/>
              <w:left w:val="single" w:color="E2E8F0" w:sz="6" w:space="0"/>
              <w:bottom w:val="single" w:color="E2E8F0" w:sz="6" w:space="0"/>
              <w:right w:val="single" w:color="E2E8F0" w:sz="6" w:space="0"/>
            </w:tcBorders>
            <w:shd w:val="clear" w:color="auto" w:fill="F8FAFC"/>
          </w:tcPr>
          <w:p w14:paraId="0C2B0222">
            <w:pPr>
              <w:pStyle w:val="24"/>
              <w:jc w:val="left"/>
            </w:pPr>
            <w:r>
              <w:rPr>
                <w:rFonts w:ascii="Times New Roman" w:hAnsi="Times New Roman" w:eastAsia="微软雅黑"/>
                <w:sz w:val="22"/>
              </w:rPr>
              <w:t>（1050-380）÷1150</w:t>
            </w:r>
          </w:p>
        </w:tc>
        <w:tc>
          <w:tcPr>
            <w:tcBorders>
              <w:top w:val="single" w:color="E2E8F0" w:sz="6" w:space="0"/>
              <w:left w:val="single" w:color="E2E8F0" w:sz="6" w:space="0"/>
              <w:bottom w:val="single" w:color="E2E8F0" w:sz="6" w:space="0"/>
              <w:right w:val="single" w:color="E2E8F0" w:sz="6" w:space="0"/>
            </w:tcBorders>
            <w:shd w:val="clear" w:color="auto" w:fill="F8FAFC"/>
          </w:tcPr>
          <w:p w14:paraId="00D228AD">
            <w:pPr>
              <w:pStyle w:val="24"/>
              <w:jc w:val="left"/>
            </w:pPr>
            <w:r>
              <w:rPr>
                <w:rFonts w:ascii="Times New Roman" w:hAnsi="Times New Roman" w:eastAsia="微软雅黑"/>
                <w:sz w:val="22"/>
              </w:rPr>
              <w:t>0.58</w:t>
            </w:r>
          </w:p>
        </w:tc>
        <w:tc>
          <w:tcPr>
            <w:tcBorders>
              <w:top w:val="single" w:color="E2E8F0" w:sz="6" w:space="0"/>
              <w:left w:val="single" w:color="E2E8F0" w:sz="6" w:space="0"/>
              <w:bottom w:val="single" w:color="E2E8F0" w:sz="6" w:space="0"/>
              <w:right w:val="single" w:color="E2E8F0" w:sz="6" w:space="0"/>
            </w:tcBorders>
            <w:shd w:val="clear" w:color="auto" w:fill="F8FAFC"/>
          </w:tcPr>
          <w:p w14:paraId="0F9ACACA">
            <w:pPr>
              <w:pStyle w:val="24"/>
              <w:jc w:val="left"/>
            </w:pPr>
            <w:r>
              <w:rPr>
                <w:rFonts w:ascii="Times New Roman" w:hAnsi="Times New Roman" w:eastAsia="微软雅黑"/>
                <w:sz w:val="22"/>
              </w:rPr>
              <w:t>A公司大幅领先</w:t>
            </w:r>
          </w:p>
        </w:tc>
      </w:tr>
      <w:tr w14:paraId="54C88F9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31BBBC9">
            <w:pPr>
              <w:pStyle w:val="24"/>
              <w:jc w:val="left"/>
            </w:pPr>
            <w:r>
              <w:rPr>
                <w:rFonts w:ascii="Times New Roman" w:hAnsi="Times New Roman" w:eastAsia="微软雅黑"/>
                <w:sz w:val="22"/>
              </w:rPr>
              <w:t>现金比率</w:t>
            </w:r>
          </w:p>
        </w:tc>
        <w:tc>
          <w:tcPr>
            <w:tcBorders>
              <w:top w:val="single" w:color="E2E8F0" w:sz="6" w:space="0"/>
              <w:left w:val="single" w:color="E2E8F0" w:sz="6" w:space="0"/>
              <w:bottom w:val="single" w:color="E2E8F0" w:sz="6" w:space="0"/>
              <w:right w:val="single" w:color="E2E8F0" w:sz="6" w:space="0"/>
            </w:tcBorders>
          </w:tcPr>
          <w:p w14:paraId="1E464DED">
            <w:pPr>
              <w:pStyle w:val="24"/>
              <w:jc w:val="left"/>
            </w:pPr>
            <w:r>
              <w:rPr>
                <w:rFonts w:ascii="Times New Roman" w:hAnsi="Times New Roman" w:eastAsia="微软雅黑"/>
                <w:sz w:val="22"/>
              </w:rPr>
              <w:t>180÷300</w:t>
            </w:r>
          </w:p>
        </w:tc>
        <w:tc>
          <w:tcPr>
            <w:tcBorders>
              <w:top w:val="single" w:color="E2E8F0" w:sz="6" w:space="0"/>
              <w:left w:val="single" w:color="E2E8F0" w:sz="6" w:space="0"/>
              <w:bottom w:val="single" w:color="E2E8F0" w:sz="6" w:space="0"/>
              <w:right w:val="single" w:color="E2E8F0" w:sz="6" w:space="0"/>
            </w:tcBorders>
          </w:tcPr>
          <w:p w14:paraId="60161228">
            <w:pPr>
              <w:pStyle w:val="24"/>
              <w:jc w:val="left"/>
            </w:pPr>
            <w:r>
              <w:rPr>
                <w:rFonts w:ascii="Times New Roman" w:hAnsi="Times New Roman" w:eastAsia="微软雅黑"/>
                <w:sz w:val="22"/>
              </w:rPr>
              <w:t>0.60</w:t>
            </w:r>
          </w:p>
        </w:tc>
        <w:tc>
          <w:tcPr>
            <w:tcBorders>
              <w:top w:val="single" w:color="E2E8F0" w:sz="6" w:space="0"/>
              <w:left w:val="single" w:color="E2E8F0" w:sz="6" w:space="0"/>
              <w:bottom w:val="single" w:color="E2E8F0" w:sz="6" w:space="0"/>
              <w:right w:val="single" w:color="E2E8F0" w:sz="6" w:space="0"/>
            </w:tcBorders>
          </w:tcPr>
          <w:p w14:paraId="7F58209D">
            <w:pPr>
              <w:pStyle w:val="24"/>
              <w:jc w:val="left"/>
            </w:pPr>
            <w:r>
              <w:rPr>
                <w:rFonts w:ascii="Times New Roman" w:hAnsi="Times New Roman" w:eastAsia="微软雅黑"/>
                <w:sz w:val="22"/>
              </w:rPr>
              <w:t>95÷1150</w:t>
            </w:r>
          </w:p>
        </w:tc>
        <w:tc>
          <w:tcPr>
            <w:tcBorders>
              <w:top w:val="single" w:color="E2E8F0" w:sz="6" w:space="0"/>
              <w:left w:val="single" w:color="E2E8F0" w:sz="6" w:space="0"/>
              <w:bottom w:val="single" w:color="E2E8F0" w:sz="6" w:space="0"/>
              <w:right w:val="single" w:color="E2E8F0" w:sz="6" w:space="0"/>
            </w:tcBorders>
          </w:tcPr>
          <w:p w14:paraId="1DCA933C">
            <w:pPr>
              <w:pStyle w:val="24"/>
              <w:jc w:val="left"/>
            </w:pPr>
            <w:r>
              <w:rPr>
                <w:rFonts w:ascii="Times New Roman" w:hAnsi="Times New Roman" w:eastAsia="微软雅黑"/>
                <w:sz w:val="22"/>
              </w:rPr>
              <w:t>0.08</w:t>
            </w:r>
          </w:p>
        </w:tc>
        <w:tc>
          <w:tcPr>
            <w:tcBorders>
              <w:top w:val="single" w:color="E2E8F0" w:sz="6" w:space="0"/>
              <w:left w:val="single" w:color="E2E8F0" w:sz="6" w:space="0"/>
              <w:bottom w:val="single" w:color="E2E8F0" w:sz="6" w:space="0"/>
              <w:right w:val="single" w:color="E2E8F0" w:sz="6" w:space="0"/>
            </w:tcBorders>
          </w:tcPr>
          <w:p w14:paraId="69630C1A">
            <w:pPr>
              <w:pStyle w:val="24"/>
              <w:jc w:val="left"/>
            </w:pPr>
            <w:r>
              <w:rPr>
                <w:rFonts w:ascii="Times New Roman" w:hAnsi="Times New Roman" w:eastAsia="微软雅黑"/>
                <w:sz w:val="22"/>
              </w:rPr>
              <w:t>B公司极低，需警惕</w:t>
            </w:r>
          </w:p>
        </w:tc>
      </w:tr>
    </w:tbl>
    <w:p w14:paraId="1AD76447">
      <w:pPr>
        <w:pStyle w:val="3"/>
      </w:pPr>
      <w:r>
        <w:rPr>
          <w:rFonts w:ascii="Times New Roman" w:hAnsi="Times New Roman" w:eastAsia="微软雅黑"/>
          <w:sz w:val="24"/>
        </w:rPr>
        <w:t>B公司的流动比率低于1，速动比率不到0.6，现金比率只有0.08——这意味着如果B公司的供应商同时要求提前回款，B公司可能没有足够的现金应对。情景导入中小戴对小林的那番话，背后的逻辑就在这里。</w:t>
      </w:r>
    </w:p>
    <w:bookmarkEnd w:id="12"/>
    <w:p w14:paraId="77635952">
      <w:pPr>
        <w:pStyle w:val="5"/>
      </w:pPr>
      <w:bookmarkStart w:id="13" w:name="在excel中计算短期偿债能力指标"/>
      <w:r>
        <w:rPr>
          <w:rFonts w:ascii="Times New Roman" w:hAnsi="Times New Roman" w:eastAsia="微软雅黑"/>
          <w:sz w:val="24"/>
        </w:rPr>
        <w:t>3. 在Excel中计算短期偿债能力指标</w:t>
      </w:r>
    </w:p>
    <w:p w14:paraId="23B4474B">
      <w:pPr>
        <w:pStyle w:val="23"/>
      </w:pPr>
      <w:r>
        <w:rPr>
          <w:rFonts w:ascii="Times New Roman" w:hAnsi="Times New Roman" w:eastAsia="微软雅黑"/>
          <w:sz w:val="24"/>
        </w:rPr>
        <w:t>在Excel中，假设资产负债表数据在一个标准格式的工作表中，用以下公式提取关键数据并计算指标。流动比率的Excel计算公式：</w:t>
      </w:r>
    </w:p>
    <w:p w14:paraId="0B62110D">
      <w:pPr>
        <w:pStyle w:val="37"/>
      </w:pPr>
      <w:r>
        <w:rPr>
          <w:rStyle w:val="36"/>
          <w:rFonts w:ascii="Times New Roman" w:hAnsi="Times New Roman" w:eastAsia="微软雅黑"/>
          <w:sz w:val="24"/>
        </w:rPr>
        <w:t>=VLOOKUP("流动资产合计",资产负债表!A:B,2,0)/VLOOKUP("流动负债合计",资产负债表!A:B,2,0)</w:t>
      </w:r>
    </w:p>
    <w:p w14:paraId="27EBFC6A">
      <w:pPr>
        <w:pStyle w:val="23"/>
      </w:pPr>
      <w:r>
        <w:rPr>
          <w:rFonts w:ascii="Times New Roman" w:hAnsi="Times New Roman" w:eastAsia="微软雅黑"/>
          <w:sz w:val="24"/>
        </w:rPr>
        <w:t>或者更直接地，如果已经把关键数据整理到一张指标计算表中：</w:t>
      </w:r>
    </w:p>
    <w:p w14:paraId="5125CE2E">
      <w:pPr>
        <w:pStyle w:val="37"/>
      </w:pPr>
      <w:r>
        <w:rPr>
          <w:rStyle w:val="36"/>
          <w:rFonts w:ascii="Times New Roman" w:hAnsi="Times New Roman" w:eastAsia="微软雅黑"/>
          <w:sz w:val="24"/>
        </w:rPr>
        <w:t>=B3/B8</w:t>
      </w:r>
    </w:p>
    <w:p w14:paraId="4390FBEA">
      <w:pPr>
        <w:pStyle w:val="23"/>
      </w:pPr>
      <w:r>
        <w:rPr>
          <w:rFonts w:ascii="Times New Roman" w:hAnsi="Times New Roman" w:eastAsia="微软雅黑"/>
          <w:sz w:val="24"/>
        </w:rPr>
        <w:t>其中B3是流动资产合计，B8是流动负债合计。这类公式逻辑简单，借助AI的价值主要在于快速处理跨表引用时复杂的VLOOKUP或XLOOKUP公式，而不是基础的除法运算。</w:t>
      </w:r>
    </w:p>
    <w:p w14:paraId="5705433B">
      <w:r>
        <w:pict>
          <v:rect id="_x0000_i1033" o:spt="1" style="height:1.5pt;width:0pt;" coordsize="21600,21600" o:hr="t" o:hrstd="t" o:hralign="center">
            <v:path/>
            <v:fill focussize="0,0"/>
            <v:stroke/>
            <v:imagedata o:title=""/>
            <o:lock v:ext="edit"/>
            <w10:wrap type="none"/>
            <w10:anchorlock/>
          </v:rect>
        </w:pict>
      </w:r>
    </w:p>
    <w:bookmarkEnd w:id="10"/>
    <w:bookmarkEnd w:id="13"/>
    <w:p w14:paraId="379DAD2B">
      <w:pPr>
        <w:pStyle w:val="4"/>
      </w:pPr>
      <w:bookmarkStart w:id="14" w:name="长期偿债能力指标"/>
      <w:r>
        <w:rPr>
          <w:rFonts w:ascii="Times New Roman" w:hAnsi="Times New Roman" w:eastAsia="微软雅黑"/>
          <w:sz w:val="24"/>
        </w:rPr>
        <w:t>7.1.2 长期偿债能力指标</w:t>
      </w:r>
    </w:p>
    <w:p w14:paraId="43E42342">
      <w:pPr>
        <w:pStyle w:val="5"/>
      </w:pPr>
      <w:bookmarkStart w:id="15" w:name="短期偿债能力和长期偿债能力的区别"/>
      <w:r>
        <w:rPr>
          <w:rFonts w:ascii="Times New Roman" w:hAnsi="Times New Roman" w:eastAsia="微软雅黑"/>
          <w:sz w:val="24"/>
        </w:rPr>
        <w:t>1. 短期偿债能力和长期偿债能力的区别</w:t>
      </w:r>
    </w:p>
    <w:p w14:paraId="168C8F4F">
      <w:pPr>
        <w:pStyle w:val="23"/>
      </w:pPr>
      <w:r>
        <w:rPr>
          <w:rFonts w:ascii="Times New Roman" w:hAnsi="Times New Roman" w:eastAsia="微软雅黑"/>
          <w:sz w:val="24"/>
        </w:rPr>
        <w:t>短期偿债能力看的是一年以内的资金覆盖情况，长期偿债能力看的是企业整体的财务结构——负债规模占总资产的比例是否合理，利润能不能覆盖利息支出。</w:t>
      </w:r>
    </w:p>
    <w:p w14:paraId="602A6486">
      <w:pPr>
        <w:pStyle w:val="3"/>
      </w:pPr>
      <w:r>
        <w:rPr>
          <w:rFonts w:ascii="Times New Roman" w:hAnsi="Times New Roman" w:eastAsia="微软雅黑"/>
          <w:sz w:val="24"/>
        </w:rPr>
        <w:t>这两个维度关注的问题不同：短期偿债能力是“现在能不能还钱”，长期偿债能力是“这家企业的财务结构是否稳健、未来能持续偿债吗”。</w:t>
      </w:r>
    </w:p>
    <w:bookmarkEnd w:id="15"/>
    <w:p w14:paraId="5B727456">
      <w:pPr>
        <w:pStyle w:val="5"/>
      </w:pPr>
      <w:bookmarkStart w:id="16" w:name="三个长期偿债能力指标"/>
      <w:r>
        <w:rPr>
          <w:rFonts w:ascii="Times New Roman" w:hAnsi="Times New Roman" w:eastAsia="微软雅黑"/>
          <w:sz w:val="24"/>
        </w:rPr>
        <w:t>2. 三个长期偿债能力指标</w:t>
      </w:r>
    </w:p>
    <w:p w14:paraId="34F220E6">
      <w:pPr>
        <w:pStyle w:val="23"/>
      </w:pPr>
      <w:r>
        <w:rPr>
          <w:rFonts w:ascii="Times New Roman" w:hAnsi="Times New Roman" w:eastAsia="微软雅黑"/>
          <w:sz w:val="24"/>
        </w:rPr>
        <w:t>长期偿债能力的核心指标见表7-4。</w:t>
      </w:r>
    </w:p>
    <w:p w14:paraId="4ACD944C">
      <w:pPr>
        <w:jc w:val="center"/>
        <w:pStyle w:val="3"/>
      </w:pPr>
      <w:r>
        <w:rPr>
          <w:rFonts w:ascii="Times New Roman" w:hAnsi="Times New Roman" w:eastAsia="微软雅黑"/>
          <w:b/>
          <w:bCs/>
          <w:sz w:val="24"/>
        </w:rPr>
        <w:t>表7-4 长期偿债能力的三个核心指标</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56"/>
        <w:gridCol w:w="2135"/>
        <w:gridCol w:w="1787"/>
        <w:gridCol w:w="3978"/>
      </w:tblGrid>
      <w:tr w14:paraId="179E143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E8B4308">
            <w:pPr>
              <w:pStyle w:val="24"/>
              <w:jc w:val="left"/>
            </w:pPr>
            <w:r>
              <w:rPr>
                <w:rFonts w:ascii="Times New Roman" w:hAnsi="Times New Roman" w:eastAsia="微软雅黑"/>
                <w:b/>
                <w:color w:val="1E3A8A"/>
                <w:sz w:val="22"/>
              </w:rPr>
              <w:t>指标</w:t>
            </w:r>
          </w:p>
        </w:tc>
        <w:tc>
          <w:tcPr>
            <w:tcBorders>
              <w:top w:val="single" w:color="E2E8F0" w:sz="6" w:space="0"/>
              <w:left w:val="single" w:color="E2E8F0" w:sz="6" w:space="0"/>
              <w:bottom w:val="single" w:color="E2E8F0" w:sz="6" w:space="0"/>
              <w:right w:val="single" w:color="E2E8F0" w:sz="6" w:space="0"/>
            </w:tcBorders>
            <w:shd w:val="clear" w:color="auto" w:fill="EEF4FF"/>
          </w:tcPr>
          <w:p w14:paraId="59DC948E">
            <w:pPr>
              <w:pStyle w:val="24"/>
              <w:jc w:val="left"/>
            </w:pPr>
            <w:r>
              <w:rPr>
                <w:rFonts w:ascii="Times New Roman" w:hAnsi="Times New Roman" w:eastAsia="微软雅黑"/>
                <w:b/>
                <w:color w:val="1E3A8A"/>
                <w:sz w:val="22"/>
              </w:rPr>
              <w:t>计算公式</w:t>
            </w:r>
          </w:p>
        </w:tc>
        <w:tc>
          <w:tcPr>
            <w:tcBorders>
              <w:top w:val="single" w:color="E2E8F0" w:sz="6" w:space="0"/>
              <w:left w:val="single" w:color="E2E8F0" w:sz="6" w:space="0"/>
              <w:bottom w:val="single" w:color="E2E8F0" w:sz="6" w:space="0"/>
              <w:right w:val="single" w:color="E2E8F0" w:sz="6" w:space="0"/>
            </w:tcBorders>
            <w:shd w:val="clear" w:color="auto" w:fill="EEF4FF"/>
          </w:tcPr>
          <w:p w14:paraId="20DF86CC">
            <w:pPr>
              <w:pStyle w:val="24"/>
              <w:jc w:val="left"/>
            </w:pPr>
            <w:r>
              <w:rPr>
                <w:rFonts w:ascii="Times New Roman" w:hAnsi="Times New Roman" w:eastAsia="微软雅黑"/>
                <w:b/>
                <w:color w:val="1E3A8A"/>
                <w:sz w:val="22"/>
              </w:rPr>
              <w:t>含义</w:t>
            </w:r>
          </w:p>
        </w:tc>
        <w:tc>
          <w:tcPr>
            <w:tcBorders>
              <w:top w:val="single" w:color="E2E8F0" w:sz="6" w:space="0"/>
              <w:left w:val="single" w:color="E2E8F0" w:sz="6" w:space="0"/>
              <w:bottom w:val="single" w:color="E2E8F0" w:sz="6" w:space="0"/>
              <w:right w:val="single" w:color="E2E8F0" w:sz="6" w:space="0"/>
            </w:tcBorders>
            <w:shd w:val="clear" w:color="auto" w:fill="EEF4FF"/>
          </w:tcPr>
          <w:p w14:paraId="396B6879">
            <w:pPr>
              <w:pStyle w:val="24"/>
              <w:jc w:val="left"/>
            </w:pPr>
            <w:r>
              <w:rPr>
                <w:rFonts w:ascii="Times New Roman" w:hAnsi="Times New Roman" w:eastAsia="微软雅黑"/>
                <w:b/>
                <w:color w:val="1E3A8A"/>
                <w:sz w:val="22"/>
              </w:rPr>
              <w:t>一般参考标准</w:t>
            </w:r>
          </w:p>
        </w:tc>
      </w:tr>
      <w:tr w14:paraId="2643B6E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F3936B7">
            <w:pPr>
              <w:pStyle w:val="24"/>
              <w:jc w:val="left"/>
            </w:pPr>
            <w:r>
              <w:rPr>
                <w:rFonts w:ascii="Times New Roman" w:hAnsi="Times New Roman" w:eastAsia="微软雅黑"/>
                <w:sz w:val="22"/>
              </w:rPr>
              <w:t>资产负债率</w:t>
            </w:r>
          </w:p>
        </w:tc>
        <w:tc>
          <w:tcPr>
            <w:tcBorders>
              <w:top w:val="single" w:color="E2E8F0" w:sz="6" w:space="0"/>
              <w:left w:val="single" w:color="E2E8F0" w:sz="6" w:space="0"/>
              <w:bottom w:val="single" w:color="E2E8F0" w:sz="6" w:space="0"/>
              <w:right w:val="single" w:color="E2E8F0" w:sz="6" w:space="0"/>
            </w:tcBorders>
          </w:tcPr>
          <w:p w14:paraId="4EB6B4FC">
            <w:pPr>
              <w:pStyle w:val="24"/>
              <w:jc w:val="left"/>
            </w:pPr>
            <w:r>
              <w:rPr>
                <w:rFonts w:ascii="Times New Roman" w:hAnsi="Times New Roman" w:eastAsia="微软雅黑"/>
                <w:sz w:val="22"/>
              </w:rPr>
              <w:t>负债总额 / 资产总额</w:t>
            </w:r>
          </w:p>
        </w:tc>
        <w:tc>
          <w:tcPr>
            <w:tcBorders>
              <w:top w:val="single" w:color="E2E8F0" w:sz="6" w:space="0"/>
              <w:left w:val="single" w:color="E2E8F0" w:sz="6" w:space="0"/>
              <w:bottom w:val="single" w:color="E2E8F0" w:sz="6" w:space="0"/>
              <w:right w:val="single" w:color="E2E8F0" w:sz="6" w:space="0"/>
            </w:tcBorders>
          </w:tcPr>
          <w:p w14:paraId="064859F1">
            <w:pPr>
              <w:pStyle w:val="24"/>
              <w:jc w:val="left"/>
            </w:pPr>
            <w:r>
              <w:rPr>
                <w:rFonts w:ascii="Times New Roman" w:hAnsi="Times New Roman" w:eastAsia="微软雅黑"/>
                <w:sz w:val="22"/>
              </w:rPr>
              <w:t>资产中有多大比例是借来的钱</w:t>
            </w:r>
          </w:p>
        </w:tc>
        <w:tc>
          <w:tcPr>
            <w:tcBorders>
              <w:top w:val="single" w:color="E2E8F0" w:sz="6" w:space="0"/>
              <w:left w:val="single" w:color="E2E8F0" w:sz="6" w:space="0"/>
              <w:bottom w:val="single" w:color="E2E8F0" w:sz="6" w:space="0"/>
              <w:right w:val="single" w:color="E2E8F0" w:sz="6" w:space="0"/>
            </w:tcBorders>
          </w:tcPr>
          <w:p w14:paraId="76D91806">
            <w:pPr>
              <w:pStyle w:val="24"/>
              <w:jc w:val="left"/>
            </w:pPr>
            <w:r>
              <w:rPr>
                <w:rFonts w:ascii="Times New Roman" w:hAnsi="Times New Roman" w:eastAsia="微软雅黑"/>
                <w:sz w:val="22"/>
              </w:rPr>
              <w:t>制造业一般50%—60%属正常；金融业显著更高；低于40%通常偏保守</w:t>
            </w:r>
          </w:p>
        </w:tc>
      </w:tr>
      <w:tr w14:paraId="0F89B2F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A384AF0">
            <w:pPr>
              <w:pStyle w:val="24"/>
              <w:jc w:val="left"/>
            </w:pPr>
            <w:r>
              <w:rPr>
                <w:rFonts w:ascii="Times New Roman" w:hAnsi="Times New Roman" w:eastAsia="微软雅黑"/>
                <w:sz w:val="22"/>
              </w:rPr>
              <w:t>产权比率</w:t>
            </w:r>
          </w:p>
        </w:tc>
        <w:tc>
          <w:tcPr>
            <w:tcBorders>
              <w:top w:val="single" w:color="E2E8F0" w:sz="6" w:space="0"/>
              <w:left w:val="single" w:color="E2E8F0" w:sz="6" w:space="0"/>
              <w:bottom w:val="single" w:color="E2E8F0" w:sz="6" w:space="0"/>
              <w:right w:val="single" w:color="E2E8F0" w:sz="6" w:space="0"/>
            </w:tcBorders>
            <w:shd w:val="clear" w:color="auto" w:fill="F8FAFC"/>
          </w:tcPr>
          <w:p w14:paraId="0B4F48D1">
            <w:pPr>
              <w:pStyle w:val="24"/>
              <w:jc w:val="left"/>
            </w:pPr>
            <w:r>
              <w:rPr>
                <w:rFonts w:ascii="Times New Roman" w:hAnsi="Times New Roman" w:eastAsia="微软雅黑"/>
                <w:sz w:val="22"/>
              </w:rPr>
              <w:t>负债总额 / 所有者权益</w:t>
            </w:r>
          </w:p>
        </w:tc>
        <w:tc>
          <w:tcPr>
            <w:tcBorders>
              <w:top w:val="single" w:color="E2E8F0" w:sz="6" w:space="0"/>
              <w:left w:val="single" w:color="E2E8F0" w:sz="6" w:space="0"/>
              <w:bottom w:val="single" w:color="E2E8F0" w:sz="6" w:space="0"/>
              <w:right w:val="single" w:color="E2E8F0" w:sz="6" w:space="0"/>
            </w:tcBorders>
            <w:shd w:val="clear" w:color="auto" w:fill="F8FAFC"/>
          </w:tcPr>
          <w:p w14:paraId="1DD8BA45">
            <w:pPr>
              <w:pStyle w:val="24"/>
              <w:jc w:val="left"/>
            </w:pPr>
            <w:r>
              <w:rPr>
                <w:rFonts w:ascii="Times New Roman" w:hAnsi="Times New Roman" w:eastAsia="微软雅黑"/>
                <w:sz w:val="22"/>
              </w:rPr>
              <w:t>债权人和股东各提供了多少资金</w:t>
            </w:r>
          </w:p>
        </w:tc>
        <w:tc>
          <w:tcPr>
            <w:tcBorders>
              <w:top w:val="single" w:color="E2E8F0" w:sz="6" w:space="0"/>
              <w:left w:val="single" w:color="E2E8F0" w:sz="6" w:space="0"/>
              <w:bottom w:val="single" w:color="E2E8F0" w:sz="6" w:space="0"/>
              <w:right w:val="single" w:color="E2E8F0" w:sz="6" w:space="0"/>
            </w:tcBorders>
            <w:shd w:val="clear" w:color="auto" w:fill="F8FAFC"/>
          </w:tcPr>
          <w:p w14:paraId="466CF41F">
            <w:pPr>
              <w:pStyle w:val="24"/>
              <w:jc w:val="left"/>
            </w:pPr>
            <w:r>
              <w:rPr>
                <w:rFonts w:ascii="Times New Roman" w:hAnsi="Times New Roman" w:eastAsia="微软雅黑"/>
                <w:sz w:val="22"/>
              </w:rPr>
              <w:t>越低说明股东的资金越充裕，抗风险能力越强</w:t>
            </w:r>
          </w:p>
        </w:tc>
      </w:tr>
      <w:tr w14:paraId="1099189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1FA82AA">
            <w:pPr>
              <w:pStyle w:val="24"/>
              <w:jc w:val="left"/>
            </w:pPr>
            <w:r>
              <w:rPr>
                <w:rFonts w:ascii="Times New Roman" w:hAnsi="Times New Roman" w:eastAsia="微软雅黑"/>
                <w:sz w:val="22"/>
              </w:rPr>
              <w:t>利息保障倍数</w:t>
            </w:r>
          </w:p>
        </w:tc>
        <w:tc>
          <w:tcPr>
            <w:tcBorders>
              <w:top w:val="single" w:color="E2E8F0" w:sz="6" w:space="0"/>
              <w:left w:val="single" w:color="E2E8F0" w:sz="6" w:space="0"/>
              <w:bottom w:val="single" w:color="E2E8F0" w:sz="6" w:space="0"/>
              <w:right w:val="single" w:color="E2E8F0" w:sz="6" w:space="0"/>
            </w:tcBorders>
          </w:tcPr>
          <w:p w14:paraId="6C2BA740">
            <w:pPr>
              <w:pStyle w:val="24"/>
              <w:jc w:val="left"/>
            </w:pPr>
            <w:r>
              <w:rPr>
                <w:rFonts w:ascii="Times New Roman" w:hAnsi="Times New Roman" w:eastAsia="微软雅黑"/>
                <w:sz w:val="22"/>
              </w:rPr>
              <w:t>息税前利润（EBIT）/ 利息费用</w:t>
            </w:r>
          </w:p>
        </w:tc>
        <w:tc>
          <w:tcPr>
            <w:tcBorders>
              <w:top w:val="single" w:color="E2E8F0" w:sz="6" w:space="0"/>
              <w:left w:val="single" w:color="E2E8F0" w:sz="6" w:space="0"/>
              <w:bottom w:val="single" w:color="E2E8F0" w:sz="6" w:space="0"/>
              <w:right w:val="single" w:color="E2E8F0" w:sz="6" w:space="0"/>
            </w:tcBorders>
          </w:tcPr>
          <w:p w14:paraId="16546FCC">
            <w:pPr>
              <w:pStyle w:val="24"/>
              <w:jc w:val="left"/>
            </w:pPr>
            <w:r>
              <w:rPr>
                <w:rFonts w:ascii="Times New Roman" w:hAnsi="Times New Roman" w:eastAsia="微软雅黑"/>
                <w:sz w:val="22"/>
              </w:rPr>
              <w:t>利润能覆盖利息支出多少倍</w:t>
            </w:r>
          </w:p>
        </w:tc>
        <w:tc>
          <w:tcPr>
            <w:tcBorders>
              <w:top w:val="single" w:color="E2E8F0" w:sz="6" w:space="0"/>
              <w:left w:val="single" w:color="E2E8F0" w:sz="6" w:space="0"/>
              <w:bottom w:val="single" w:color="E2E8F0" w:sz="6" w:space="0"/>
              <w:right w:val="single" w:color="E2E8F0" w:sz="6" w:space="0"/>
            </w:tcBorders>
          </w:tcPr>
          <w:p w14:paraId="0C194E80">
            <w:pPr>
              <w:pStyle w:val="24"/>
              <w:jc w:val="left"/>
            </w:pPr>
            <w:r>
              <w:rPr>
                <w:rFonts w:ascii="Times New Roman" w:hAnsi="Times New Roman" w:eastAsia="微软雅黑"/>
                <w:sz w:val="22"/>
              </w:rPr>
              <w:t>一般认为至少要大于2，越高越安全</w:t>
            </w:r>
          </w:p>
        </w:tc>
      </w:tr>
    </w:tbl>
    <w:p w14:paraId="77CC8E81">
      <w:pPr>
        <w:pStyle w:val="3"/>
      </w:pPr>
      <w:r>
        <w:rPr>
          <w:rFonts w:ascii="Times New Roman" w:hAnsi="Times New Roman" w:eastAsia="微软雅黑"/>
          <w:sz w:val="24"/>
        </w:rPr>
        <w:t>这三个指标中，</w:t>
      </w:r>
      <w:r>
        <w:rPr>
          <w:rFonts w:ascii="Times New Roman" w:hAnsi="Times New Roman" w:eastAsia="微软雅黑"/>
          <w:b/>
          <w:bCs/>
          <w:sz w:val="24"/>
        </w:rPr>
        <w:t>资产负债率</w:t>
      </w:r>
      <w:r>
        <w:rPr>
          <w:rFonts w:ascii="Times New Roman" w:hAnsi="Times New Roman" w:eastAsia="微软雅黑"/>
          <w:sz w:val="24"/>
        </w:rPr>
        <w:t>是使用最频繁的。它衡量的是企业的财务杠杆水平——负债率高意味着杠杆高，好的时候放大收益，差的时候放大亏损；负债率低意味着财务更保守，但也可能说明企业没有充分利用杠杆来提升股东回报。合理的负债率没有统一的标准，判断时一定要结合行业特点。</w:t>
      </w:r>
    </w:p>
    <w:p w14:paraId="7997B656">
      <w:pPr>
        <w:pStyle w:val="3"/>
      </w:pPr>
      <w:r>
        <w:rPr>
          <w:rFonts w:ascii="Times New Roman" w:hAnsi="Times New Roman" w:eastAsia="微软雅黑"/>
          <w:b/>
          <w:bCs/>
          <w:sz w:val="24"/>
        </w:rPr>
        <w:t>利息保障倍数</w:t>
      </w:r>
      <w:r>
        <w:rPr>
          <w:rFonts w:ascii="Times New Roman" w:hAnsi="Times New Roman" w:eastAsia="微软雅黑"/>
          <w:sz w:val="24"/>
        </w:rPr>
        <w:t>是评估债务偿还能力时另一个很重要的指标。它回答的问题是：就算公司利润有所下滑，还能不能支付债务利息？倍数越高，说明安全边际越大。如果利息保障倍数小于1，意味着公司当期的税前利润都不够付利息，这通常是很危险的信号。</w:t>
      </w:r>
    </w:p>
    <w:bookmarkEnd w:id="16"/>
    <w:p w14:paraId="51BFD4FC">
      <w:pPr>
        <w:pStyle w:val="5"/>
      </w:pPr>
      <w:bookmarkStart w:id="17" w:name="继续用a公司和b公司举例"/>
      <w:r>
        <w:rPr>
          <w:rFonts w:ascii="Times New Roman" w:hAnsi="Times New Roman" w:eastAsia="微软雅黑"/>
          <w:sz w:val="24"/>
        </w:rPr>
        <w:t>3. 继续用A公司和B公司举例</w:t>
      </w:r>
    </w:p>
    <w:p w14:paraId="71ED726B">
      <w:pPr>
        <w:pStyle w:val="23"/>
      </w:pPr>
      <w:r>
        <w:rPr>
          <w:rFonts w:ascii="Times New Roman" w:hAnsi="Times New Roman" w:eastAsia="微软雅黑"/>
          <w:sz w:val="24"/>
        </w:rPr>
        <w:t>假设两家公司还有以下财务数据，见表7-5。</w:t>
      </w:r>
    </w:p>
    <w:p w14:paraId="6BC714B8">
      <w:pPr>
        <w:jc w:val="center"/>
        <w:pStyle w:val="3"/>
      </w:pPr>
      <w:r>
        <w:rPr>
          <w:rFonts w:ascii="Times New Roman" w:hAnsi="Times New Roman" w:eastAsia="微软雅黑"/>
          <w:b/>
          <w:bCs/>
          <w:sz w:val="24"/>
        </w:rPr>
        <w:t>表7-5 A公司与B公司长期偿债能力计算数据（万元）</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245"/>
        <w:gridCol w:w="862"/>
        <w:gridCol w:w="850"/>
      </w:tblGrid>
      <w:tr w14:paraId="3F0DFA1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18EBD7E">
            <w:pPr>
              <w:pStyle w:val="24"/>
              <w:jc w:val="left"/>
            </w:pPr>
            <w:r>
              <w:rPr>
                <w:rFonts w:ascii="Times New Roman" w:hAnsi="Times New Roman" w:eastAsia="微软雅黑"/>
                <w:b/>
                <w:color w:val="1E3A8A"/>
                <w:sz w:val="22"/>
              </w:rPr>
              <w:t>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7088DE2D">
            <w:pPr>
              <w:pStyle w:val="24"/>
              <w:jc w:val="left"/>
            </w:pPr>
            <w:r>
              <w:rPr>
                <w:rFonts w:ascii="Times New Roman" w:hAnsi="Times New Roman" w:eastAsia="微软雅黑"/>
                <w:b/>
                <w:color w:val="1E3A8A"/>
                <w:sz w:val="22"/>
              </w:rPr>
              <w:t>A公司</w:t>
            </w:r>
          </w:p>
        </w:tc>
        <w:tc>
          <w:tcPr>
            <w:tcBorders>
              <w:top w:val="single" w:color="E2E8F0" w:sz="6" w:space="0"/>
              <w:left w:val="single" w:color="E2E8F0" w:sz="6" w:space="0"/>
              <w:bottom w:val="single" w:color="E2E8F0" w:sz="6" w:space="0"/>
              <w:right w:val="single" w:color="E2E8F0" w:sz="6" w:space="0"/>
            </w:tcBorders>
            <w:shd w:val="clear" w:color="auto" w:fill="EEF4FF"/>
          </w:tcPr>
          <w:p w14:paraId="29A087AC">
            <w:pPr>
              <w:pStyle w:val="24"/>
              <w:jc w:val="left"/>
            </w:pPr>
            <w:r>
              <w:rPr>
                <w:rFonts w:ascii="Times New Roman" w:hAnsi="Times New Roman" w:eastAsia="微软雅黑"/>
                <w:b/>
                <w:color w:val="1E3A8A"/>
                <w:sz w:val="22"/>
              </w:rPr>
              <w:t>B公司</w:t>
            </w:r>
          </w:p>
        </w:tc>
      </w:tr>
      <w:tr w14:paraId="2C1E3CC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EB19F5D">
            <w:pPr>
              <w:pStyle w:val="24"/>
              <w:jc w:val="left"/>
            </w:pPr>
            <w:r>
              <w:rPr>
                <w:rFonts w:ascii="Times New Roman" w:hAnsi="Times New Roman" w:eastAsia="微软雅黑"/>
                <w:sz w:val="22"/>
              </w:rPr>
              <w:t>资产总额</w:t>
            </w:r>
          </w:p>
        </w:tc>
        <w:tc>
          <w:tcPr>
            <w:tcBorders>
              <w:top w:val="single" w:color="E2E8F0" w:sz="6" w:space="0"/>
              <w:left w:val="single" w:color="E2E8F0" w:sz="6" w:space="0"/>
              <w:bottom w:val="single" w:color="E2E8F0" w:sz="6" w:space="0"/>
              <w:right w:val="single" w:color="E2E8F0" w:sz="6" w:space="0"/>
            </w:tcBorders>
          </w:tcPr>
          <w:p w14:paraId="66CCA071">
            <w:pPr>
              <w:pStyle w:val="24"/>
              <w:jc w:val="left"/>
            </w:pPr>
            <w:r>
              <w:rPr>
                <w:rFonts w:ascii="Times New Roman" w:hAnsi="Times New Roman" w:eastAsia="微软雅黑"/>
                <w:sz w:val="22"/>
              </w:rPr>
              <w:t>1850</w:t>
            </w:r>
          </w:p>
        </w:tc>
        <w:tc>
          <w:tcPr>
            <w:tcBorders>
              <w:top w:val="single" w:color="E2E8F0" w:sz="6" w:space="0"/>
              <w:left w:val="single" w:color="E2E8F0" w:sz="6" w:space="0"/>
              <w:bottom w:val="single" w:color="E2E8F0" w:sz="6" w:space="0"/>
              <w:right w:val="single" w:color="E2E8F0" w:sz="6" w:space="0"/>
            </w:tcBorders>
          </w:tcPr>
          <w:p w14:paraId="42170E9C">
            <w:pPr>
              <w:pStyle w:val="24"/>
              <w:jc w:val="left"/>
            </w:pPr>
            <w:r>
              <w:rPr>
                <w:rFonts w:ascii="Times New Roman" w:hAnsi="Times New Roman" w:eastAsia="微软雅黑"/>
                <w:sz w:val="22"/>
              </w:rPr>
              <w:t>2680</w:t>
            </w:r>
          </w:p>
        </w:tc>
      </w:tr>
      <w:tr w14:paraId="1B7E989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C47C565">
            <w:pPr>
              <w:pStyle w:val="24"/>
              <w:jc w:val="left"/>
            </w:pPr>
            <w:r>
              <w:rPr>
                <w:rFonts w:ascii="Times New Roman" w:hAnsi="Times New Roman" w:eastAsia="微软雅黑"/>
                <w:sz w:val="22"/>
              </w:rPr>
              <w:t>负债总额</w:t>
            </w:r>
          </w:p>
        </w:tc>
        <w:tc>
          <w:tcPr>
            <w:tcBorders>
              <w:top w:val="single" w:color="E2E8F0" w:sz="6" w:space="0"/>
              <w:left w:val="single" w:color="E2E8F0" w:sz="6" w:space="0"/>
              <w:bottom w:val="single" w:color="E2E8F0" w:sz="6" w:space="0"/>
              <w:right w:val="single" w:color="E2E8F0" w:sz="6" w:space="0"/>
            </w:tcBorders>
            <w:shd w:val="clear" w:color="auto" w:fill="F8FAFC"/>
          </w:tcPr>
          <w:p w14:paraId="49E5FF85">
            <w:pPr>
              <w:pStyle w:val="24"/>
              <w:jc w:val="left"/>
            </w:pPr>
            <w:r>
              <w:rPr>
                <w:rFonts w:ascii="Times New Roman" w:hAnsi="Times New Roman" w:eastAsia="微软雅黑"/>
                <w:sz w:val="22"/>
              </w:rPr>
              <w:t>720</w:t>
            </w:r>
          </w:p>
        </w:tc>
        <w:tc>
          <w:tcPr>
            <w:tcBorders>
              <w:top w:val="single" w:color="E2E8F0" w:sz="6" w:space="0"/>
              <w:left w:val="single" w:color="E2E8F0" w:sz="6" w:space="0"/>
              <w:bottom w:val="single" w:color="E2E8F0" w:sz="6" w:space="0"/>
              <w:right w:val="single" w:color="E2E8F0" w:sz="6" w:space="0"/>
            </w:tcBorders>
            <w:shd w:val="clear" w:color="auto" w:fill="F8FAFC"/>
          </w:tcPr>
          <w:p w14:paraId="57D8E09B">
            <w:pPr>
              <w:pStyle w:val="24"/>
              <w:jc w:val="left"/>
            </w:pPr>
            <w:r>
              <w:rPr>
                <w:rFonts w:ascii="Times New Roman" w:hAnsi="Times New Roman" w:eastAsia="微软雅黑"/>
                <w:sz w:val="22"/>
              </w:rPr>
              <w:t>1680</w:t>
            </w:r>
          </w:p>
        </w:tc>
      </w:tr>
      <w:tr w14:paraId="64A58F6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FCE44E6">
            <w:pPr>
              <w:pStyle w:val="24"/>
              <w:jc w:val="left"/>
            </w:pPr>
            <w:r>
              <w:rPr>
                <w:rFonts w:ascii="Times New Roman" w:hAnsi="Times New Roman" w:eastAsia="微软雅黑"/>
                <w:sz w:val="22"/>
              </w:rPr>
              <w:t>所有者权益</w:t>
            </w:r>
          </w:p>
        </w:tc>
        <w:tc>
          <w:tcPr>
            <w:tcBorders>
              <w:top w:val="single" w:color="E2E8F0" w:sz="6" w:space="0"/>
              <w:left w:val="single" w:color="E2E8F0" w:sz="6" w:space="0"/>
              <w:bottom w:val="single" w:color="E2E8F0" w:sz="6" w:space="0"/>
              <w:right w:val="single" w:color="E2E8F0" w:sz="6" w:space="0"/>
            </w:tcBorders>
          </w:tcPr>
          <w:p w14:paraId="5D0540D4">
            <w:pPr>
              <w:pStyle w:val="24"/>
              <w:jc w:val="left"/>
            </w:pPr>
            <w:r>
              <w:rPr>
                <w:rFonts w:ascii="Times New Roman" w:hAnsi="Times New Roman" w:eastAsia="微软雅黑"/>
                <w:sz w:val="22"/>
              </w:rPr>
              <w:t>1130</w:t>
            </w:r>
          </w:p>
        </w:tc>
        <w:tc>
          <w:tcPr>
            <w:tcBorders>
              <w:top w:val="single" w:color="E2E8F0" w:sz="6" w:space="0"/>
              <w:left w:val="single" w:color="E2E8F0" w:sz="6" w:space="0"/>
              <w:bottom w:val="single" w:color="E2E8F0" w:sz="6" w:space="0"/>
              <w:right w:val="single" w:color="E2E8F0" w:sz="6" w:space="0"/>
            </w:tcBorders>
          </w:tcPr>
          <w:p w14:paraId="011299C0">
            <w:pPr>
              <w:pStyle w:val="24"/>
              <w:jc w:val="left"/>
            </w:pPr>
            <w:r>
              <w:rPr>
                <w:rFonts w:ascii="Times New Roman" w:hAnsi="Times New Roman" w:eastAsia="微软雅黑"/>
                <w:sz w:val="22"/>
              </w:rPr>
              <w:t>1000</w:t>
            </w:r>
          </w:p>
        </w:tc>
      </w:tr>
      <w:tr w14:paraId="6C9E005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88CD925">
            <w:pPr>
              <w:pStyle w:val="24"/>
              <w:jc w:val="left"/>
            </w:pPr>
            <w:r>
              <w:rPr>
                <w:rFonts w:ascii="Times New Roman" w:hAnsi="Times New Roman" w:eastAsia="微软雅黑"/>
                <w:sz w:val="22"/>
              </w:rPr>
              <w:t>息税前利润（EBIT）</w:t>
            </w:r>
          </w:p>
        </w:tc>
        <w:tc>
          <w:tcPr>
            <w:tcBorders>
              <w:top w:val="single" w:color="E2E8F0" w:sz="6" w:space="0"/>
              <w:left w:val="single" w:color="E2E8F0" w:sz="6" w:space="0"/>
              <w:bottom w:val="single" w:color="E2E8F0" w:sz="6" w:space="0"/>
              <w:right w:val="single" w:color="E2E8F0" w:sz="6" w:space="0"/>
            </w:tcBorders>
            <w:shd w:val="clear" w:color="auto" w:fill="F8FAFC"/>
          </w:tcPr>
          <w:p w14:paraId="6DA41097">
            <w:pPr>
              <w:pStyle w:val="24"/>
              <w:jc w:val="left"/>
            </w:pPr>
            <w:r>
              <w:rPr>
                <w:rFonts w:ascii="Times New Roman" w:hAnsi="Times New Roman" w:eastAsia="微软雅黑"/>
                <w:sz w:val="22"/>
              </w:rPr>
              <w:t>380</w:t>
            </w:r>
          </w:p>
        </w:tc>
        <w:tc>
          <w:tcPr>
            <w:tcBorders>
              <w:top w:val="single" w:color="E2E8F0" w:sz="6" w:space="0"/>
              <w:left w:val="single" w:color="E2E8F0" w:sz="6" w:space="0"/>
              <w:bottom w:val="single" w:color="E2E8F0" w:sz="6" w:space="0"/>
              <w:right w:val="single" w:color="E2E8F0" w:sz="6" w:space="0"/>
            </w:tcBorders>
            <w:shd w:val="clear" w:color="auto" w:fill="F8FAFC"/>
          </w:tcPr>
          <w:p w14:paraId="7D7DF892">
            <w:pPr>
              <w:pStyle w:val="24"/>
              <w:jc w:val="left"/>
            </w:pPr>
            <w:r>
              <w:rPr>
                <w:rFonts w:ascii="Times New Roman" w:hAnsi="Times New Roman" w:eastAsia="微软雅黑"/>
                <w:sz w:val="22"/>
              </w:rPr>
              <w:t>490</w:t>
            </w:r>
          </w:p>
        </w:tc>
      </w:tr>
      <w:tr w14:paraId="2C84B95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132615A">
            <w:pPr>
              <w:pStyle w:val="24"/>
              <w:jc w:val="left"/>
            </w:pPr>
            <w:r>
              <w:rPr>
                <w:rFonts w:ascii="Times New Roman" w:hAnsi="Times New Roman" w:eastAsia="微软雅黑"/>
                <w:sz w:val="22"/>
              </w:rPr>
              <w:t>利息费用</w:t>
            </w:r>
          </w:p>
        </w:tc>
        <w:tc>
          <w:tcPr>
            <w:tcBorders>
              <w:top w:val="single" w:color="E2E8F0" w:sz="6" w:space="0"/>
              <w:left w:val="single" w:color="E2E8F0" w:sz="6" w:space="0"/>
              <w:bottom w:val="single" w:color="E2E8F0" w:sz="6" w:space="0"/>
              <w:right w:val="single" w:color="E2E8F0" w:sz="6" w:space="0"/>
            </w:tcBorders>
          </w:tcPr>
          <w:p w14:paraId="13091599">
            <w:pPr>
              <w:pStyle w:val="24"/>
              <w:jc w:val="left"/>
            </w:pPr>
            <w:r>
              <w:rPr>
                <w:rFonts w:ascii="Times New Roman" w:hAnsi="Times New Roman" w:eastAsia="微软雅黑"/>
                <w:sz w:val="22"/>
              </w:rPr>
              <w:t>42</w:t>
            </w:r>
          </w:p>
        </w:tc>
        <w:tc>
          <w:tcPr>
            <w:tcBorders>
              <w:top w:val="single" w:color="E2E8F0" w:sz="6" w:space="0"/>
              <w:left w:val="single" w:color="E2E8F0" w:sz="6" w:space="0"/>
              <w:bottom w:val="single" w:color="E2E8F0" w:sz="6" w:space="0"/>
              <w:right w:val="single" w:color="E2E8F0" w:sz="6" w:space="0"/>
            </w:tcBorders>
          </w:tcPr>
          <w:p w14:paraId="2E128921">
            <w:pPr>
              <w:pStyle w:val="24"/>
              <w:jc w:val="left"/>
            </w:pPr>
            <w:r>
              <w:rPr>
                <w:rFonts w:ascii="Times New Roman" w:hAnsi="Times New Roman" w:eastAsia="微软雅黑"/>
                <w:sz w:val="22"/>
              </w:rPr>
              <w:t>168</w:t>
            </w:r>
          </w:p>
        </w:tc>
      </w:tr>
    </w:tbl>
    <w:p w14:paraId="0DBEA77A">
      <w:pPr>
        <w:pStyle w:val="3"/>
      </w:pPr>
      <w:r>
        <w:rPr>
          <w:rFonts w:ascii="Times New Roman" w:hAnsi="Times New Roman" w:eastAsia="微软雅黑"/>
          <w:sz w:val="24"/>
        </w:rPr>
        <w:t>基于以上数据，三个指标的计算结果见表7-6。</w:t>
      </w:r>
    </w:p>
    <w:p w14:paraId="2243C7AB">
      <w:pPr>
        <w:jc w:val="center"/>
        <w:pStyle w:val="3"/>
      </w:pPr>
      <w:r>
        <w:rPr>
          <w:rFonts w:ascii="Times New Roman" w:hAnsi="Times New Roman" w:eastAsia="微软雅黑"/>
          <w:b/>
          <w:bCs/>
          <w:sz w:val="24"/>
        </w:rPr>
        <w:t>表7-6 A公司与B公司长期偿债能力指标计算</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25"/>
        <w:gridCol w:w="861"/>
        <w:gridCol w:w="849"/>
        <w:gridCol w:w="5621"/>
      </w:tblGrid>
      <w:tr w14:paraId="1C56F6E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1E99EB2">
            <w:pPr>
              <w:pStyle w:val="24"/>
              <w:jc w:val="left"/>
            </w:pPr>
            <w:r>
              <w:rPr>
                <w:rFonts w:ascii="Times New Roman" w:hAnsi="Times New Roman" w:eastAsia="微软雅黑"/>
                <w:b/>
                <w:color w:val="1E3A8A"/>
                <w:sz w:val="22"/>
              </w:rPr>
              <w:t>指标</w:t>
            </w:r>
          </w:p>
        </w:tc>
        <w:tc>
          <w:tcPr>
            <w:tcBorders>
              <w:top w:val="single" w:color="E2E8F0" w:sz="6" w:space="0"/>
              <w:left w:val="single" w:color="E2E8F0" w:sz="6" w:space="0"/>
              <w:bottom w:val="single" w:color="E2E8F0" w:sz="6" w:space="0"/>
              <w:right w:val="single" w:color="E2E8F0" w:sz="6" w:space="0"/>
            </w:tcBorders>
            <w:shd w:val="clear" w:color="auto" w:fill="EEF4FF"/>
          </w:tcPr>
          <w:p w14:paraId="76C1A7C7">
            <w:pPr>
              <w:pStyle w:val="24"/>
              <w:jc w:val="left"/>
            </w:pPr>
            <w:r>
              <w:rPr>
                <w:rFonts w:ascii="Times New Roman" w:hAnsi="Times New Roman" w:eastAsia="微软雅黑"/>
                <w:b/>
                <w:color w:val="1E3A8A"/>
                <w:sz w:val="22"/>
              </w:rPr>
              <w:t>A公司</w:t>
            </w:r>
          </w:p>
        </w:tc>
        <w:tc>
          <w:tcPr>
            <w:tcBorders>
              <w:top w:val="single" w:color="E2E8F0" w:sz="6" w:space="0"/>
              <w:left w:val="single" w:color="E2E8F0" w:sz="6" w:space="0"/>
              <w:bottom w:val="single" w:color="E2E8F0" w:sz="6" w:space="0"/>
              <w:right w:val="single" w:color="E2E8F0" w:sz="6" w:space="0"/>
            </w:tcBorders>
            <w:shd w:val="clear" w:color="auto" w:fill="EEF4FF"/>
          </w:tcPr>
          <w:p w14:paraId="46456CE6">
            <w:pPr>
              <w:pStyle w:val="24"/>
              <w:jc w:val="left"/>
            </w:pPr>
            <w:r>
              <w:rPr>
                <w:rFonts w:ascii="Times New Roman" w:hAnsi="Times New Roman" w:eastAsia="微软雅黑"/>
                <w:b/>
                <w:color w:val="1E3A8A"/>
                <w:sz w:val="22"/>
              </w:rPr>
              <w:t>B公司</w:t>
            </w:r>
          </w:p>
        </w:tc>
        <w:tc>
          <w:tcPr>
            <w:tcBorders>
              <w:top w:val="single" w:color="E2E8F0" w:sz="6" w:space="0"/>
              <w:left w:val="single" w:color="E2E8F0" w:sz="6" w:space="0"/>
              <w:bottom w:val="single" w:color="E2E8F0" w:sz="6" w:space="0"/>
              <w:right w:val="single" w:color="E2E8F0" w:sz="6" w:space="0"/>
            </w:tcBorders>
            <w:shd w:val="clear" w:color="auto" w:fill="EEF4FF"/>
          </w:tcPr>
          <w:p w14:paraId="5EC456A0">
            <w:pPr>
              <w:pStyle w:val="24"/>
              <w:jc w:val="left"/>
            </w:pPr>
            <w:r>
              <w:rPr>
                <w:rFonts w:ascii="Times New Roman" w:hAnsi="Times New Roman" w:eastAsia="微软雅黑"/>
                <w:b/>
                <w:color w:val="1E3A8A"/>
                <w:sz w:val="22"/>
              </w:rPr>
              <w:t>对比解读</w:t>
            </w:r>
          </w:p>
        </w:tc>
      </w:tr>
      <w:tr w14:paraId="7D2AFF6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EBA417A">
            <w:pPr>
              <w:pStyle w:val="24"/>
              <w:jc w:val="left"/>
            </w:pPr>
            <w:r>
              <w:rPr>
                <w:rFonts w:ascii="Times New Roman" w:hAnsi="Times New Roman" w:eastAsia="微软雅黑"/>
                <w:sz w:val="22"/>
              </w:rPr>
              <w:t>资产负债率</w:t>
            </w:r>
          </w:p>
        </w:tc>
        <w:tc>
          <w:tcPr>
            <w:tcBorders>
              <w:top w:val="single" w:color="E2E8F0" w:sz="6" w:space="0"/>
              <w:left w:val="single" w:color="E2E8F0" w:sz="6" w:space="0"/>
              <w:bottom w:val="single" w:color="E2E8F0" w:sz="6" w:space="0"/>
              <w:right w:val="single" w:color="E2E8F0" w:sz="6" w:space="0"/>
            </w:tcBorders>
          </w:tcPr>
          <w:p w14:paraId="31B103A2">
            <w:pPr>
              <w:pStyle w:val="24"/>
              <w:jc w:val="left"/>
            </w:pPr>
            <w:r>
              <w:rPr>
                <w:rFonts w:ascii="Times New Roman" w:hAnsi="Times New Roman" w:eastAsia="微软雅黑"/>
                <w:sz w:val="22"/>
              </w:rPr>
              <w:t>38.9%</w:t>
            </w:r>
          </w:p>
        </w:tc>
        <w:tc>
          <w:tcPr>
            <w:tcBorders>
              <w:top w:val="single" w:color="E2E8F0" w:sz="6" w:space="0"/>
              <w:left w:val="single" w:color="E2E8F0" w:sz="6" w:space="0"/>
              <w:bottom w:val="single" w:color="E2E8F0" w:sz="6" w:space="0"/>
              <w:right w:val="single" w:color="E2E8F0" w:sz="6" w:space="0"/>
            </w:tcBorders>
          </w:tcPr>
          <w:p w14:paraId="0F3D0343">
            <w:pPr>
              <w:pStyle w:val="24"/>
              <w:jc w:val="left"/>
            </w:pPr>
            <w:r>
              <w:rPr>
                <w:rFonts w:ascii="Times New Roman" w:hAnsi="Times New Roman" w:eastAsia="微软雅黑"/>
                <w:sz w:val="22"/>
              </w:rPr>
              <w:t>62.7%</w:t>
            </w:r>
          </w:p>
        </w:tc>
        <w:tc>
          <w:tcPr>
            <w:tcBorders>
              <w:top w:val="single" w:color="E2E8F0" w:sz="6" w:space="0"/>
              <w:left w:val="single" w:color="E2E8F0" w:sz="6" w:space="0"/>
              <w:bottom w:val="single" w:color="E2E8F0" w:sz="6" w:space="0"/>
              <w:right w:val="single" w:color="E2E8F0" w:sz="6" w:space="0"/>
            </w:tcBorders>
          </w:tcPr>
          <w:p w14:paraId="1E47FC01">
            <w:pPr>
              <w:pStyle w:val="24"/>
              <w:jc w:val="left"/>
            </w:pPr>
            <w:r>
              <w:rPr>
                <w:rFonts w:ascii="Times New Roman" w:hAnsi="Times New Roman" w:eastAsia="微软雅黑"/>
                <w:sz w:val="22"/>
              </w:rPr>
              <w:t>A公司财务结构更保守；B公司杠杆较高</w:t>
            </w:r>
          </w:p>
        </w:tc>
      </w:tr>
      <w:tr w14:paraId="5FC5E01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C0BF222">
            <w:pPr>
              <w:pStyle w:val="24"/>
              <w:jc w:val="left"/>
            </w:pPr>
            <w:r>
              <w:rPr>
                <w:rFonts w:ascii="Times New Roman" w:hAnsi="Times New Roman" w:eastAsia="微软雅黑"/>
                <w:sz w:val="22"/>
              </w:rPr>
              <w:t>产权比率</w:t>
            </w:r>
          </w:p>
        </w:tc>
        <w:tc>
          <w:tcPr>
            <w:tcBorders>
              <w:top w:val="single" w:color="E2E8F0" w:sz="6" w:space="0"/>
              <w:left w:val="single" w:color="E2E8F0" w:sz="6" w:space="0"/>
              <w:bottom w:val="single" w:color="E2E8F0" w:sz="6" w:space="0"/>
              <w:right w:val="single" w:color="E2E8F0" w:sz="6" w:space="0"/>
            </w:tcBorders>
            <w:shd w:val="clear" w:color="auto" w:fill="F8FAFC"/>
          </w:tcPr>
          <w:p w14:paraId="7EDA269C">
            <w:pPr>
              <w:pStyle w:val="24"/>
              <w:jc w:val="left"/>
            </w:pPr>
            <w:r>
              <w:rPr>
                <w:rFonts w:ascii="Times New Roman" w:hAnsi="Times New Roman" w:eastAsia="微软雅黑"/>
                <w:sz w:val="22"/>
              </w:rPr>
              <w:t>0.64</w:t>
            </w:r>
          </w:p>
        </w:tc>
        <w:tc>
          <w:tcPr>
            <w:tcBorders>
              <w:top w:val="single" w:color="E2E8F0" w:sz="6" w:space="0"/>
              <w:left w:val="single" w:color="E2E8F0" w:sz="6" w:space="0"/>
              <w:bottom w:val="single" w:color="E2E8F0" w:sz="6" w:space="0"/>
              <w:right w:val="single" w:color="E2E8F0" w:sz="6" w:space="0"/>
            </w:tcBorders>
            <w:shd w:val="clear" w:color="auto" w:fill="F8FAFC"/>
          </w:tcPr>
          <w:p w14:paraId="5124F9A1">
            <w:pPr>
              <w:pStyle w:val="24"/>
              <w:jc w:val="left"/>
            </w:pPr>
            <w:r>
              <w:rPr>
                <w:rFonts w:ascii="Times New Roman" w:hAnsi="Times New Roman" w:eastAsia="微软雅黑"/>
                <w:sz w:val="22"/>
              </w:rPr>
              <w:t>1.68</w:t>
            </w:r>
          </w:p>
        </w:tc>
        <w:tc>
          <w:tcPr>
            <w:tcBorders>
              <w:top w:val="single" w:color="E2E8F0" w:sz="6" w:space="0"/>
              <w:left w:val="single" w:color="E2E8F0" w:sz="6" w:space="0"/>
              <w:bottom w:val="single" w:color="E2E8F0" w:sz="6" w:space="0"/>
              <w:right w:val="single" w:color="E2E8F0" w:sz="6" w:space="0"/>
            </w:tcBorders>
            <w:shd w:val="clear" w:color="auto" w:fill="F8FAFC"/>
          </w:tcPr>
          <w:p w14:paraId="325A54FF">
            <w:pPr>
              <w:pStyle w:val="24"/>
              <w:jc w:val="left"/>
            </w:pPr>
            <w:r>
              <w:rPr>
                <w:rFonts w:ascii="Times New Roman" w:hAnsi="Times New Roman" w:eastAsia="微软雅黑"/>
                <w:sz w:val="22"/>
              </w:rPr>
              <w:t>B公司对债权人的依赖程度约为A公司的2.6倍</w:t>
            </w:r>
          </w:p>
        </w:tc>
      </w:tr>
      <w:tr w14:paraId="64187A6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33E2746">
            <w:pPr>
              <w:pStyle w:val="24"/>
              <w:jc w:val="left"/>
            </w:pPr>
            <w:r>
              <w:rPr>
                <w:rFonts w:ascii="Times New Roman" w:hAnsi="Times New Roman" w:eastAsia="微软雅黑"/>
                <w:sz w:val="22"/>
              </w:rPr>
              <w:t>利息保障倍数</w:t>
            </w:r>
          </w:p>
        </w:tc>
        <w:tc>
          <w:tcPr>
            <w:tcBorders>
              <w:top w:val="single" w:color="E2E8F0" w:sz="6" w:space="0"/>
              <w:left w:val="single" w:color="E2E8F0" w:sz="6" w:space="0"/>
              <w:bottom w:val="single" w:color="E2E8F0" w:sz="6" w:space="0"/>
              <w:right w:val="single" w:color="E2E8F0" w:sz="6" w:space="0"/>
            </w:tcBorders>
          </w:tcPr>
          <w:p w14:paraId="68348D96">
            <w:pPr>
              <w:pStyle w:val="24"/>
              <w:jc w:val="left"/>
            </w:pPr>
            <w:r>
              <w:rPr>
                <w:rFonts w:ascii="Times New Roman" w:hAnsi="Times New Roman" w:eastAsia="微软雅黑"/>
                <w:sz w:val="22"/>
              </w:rPr>
              <w:t>9.0</w:t>
            </w:r>
          </w:p>
        </w:tc>
        <w:tc>
          <w:tcPr>
            <w:tcBorders>
              <w:top w:val="single" w:color="E2E8F0" w:sz="6" w:space="0"/>
              <w:left w:val="single" w:color="E2E8F0" w:sz="6" w:space="0"/>
              <w:bottom w:val="single" w:color="E2E8F0" w:sz="6" w:space="0"/>
              <w:right w:val="single" w:color="E2E8F0" w:sz="6" w:space="0"/>
            </w:tcBorders>
          </w:tcPr>
          <w:p w14:paraId="22BB567C">
            <w:pPr>
              <w:pStyle w:val="24"/>
              <w:jc w:val="left"/>
            </w:pPr>
            <w:r>
              <w:rPr>
                <w:rFonts w:ascii="Times New Roman" w:hAnsi="Times New Roman" w:eastAsia="微软雅黑"/>
                <w:sz w:val="22"/>
              </w:rPr>
              <w:t>2.9</w:t>
            </w:r>
          </w:p>
        </w:tc>
        <w:tc>
          <w:tcPr>
            <w:tcBorders>
              <w:top w:val="single" w:color="E2E8F0" w:sz="6" w:space="0"/>
              <w:left w:val="single" w:color="E2E8F0" w:sz="6" w:space="0"/>
              <w:bottom w:val="single" w:color="E2E8F0" w:sz="6" w:space="0"/>
              <w:right w:val="single" w:color="E2E8F0" w:sz="6" w:space="0"/>
            </w:tcBorders>
          </w:tcPr>
          <w:p w14:paraId="123AA709">
            <w:pPr>
              <w:pStyle w:val="24"/>
              <w:jc w:val="left"/>
            </w:pPr>
            <w:r>
              <w:rPr>
                <w:rFonts w:ascii="Times New Roman" w:hAnsi="Times New Roman" w:eastAsia="微软雅黑"/>
                <w:sz w:val="22"/>
              </w:rPr>
              <w:t>A公司安全边际充裕；B公司尚在安全线内，但余量不大</w:t>
            </w:r>
          </w:p>
        </w:tc>
      </w:tr>
    </w:tbl>
    <w:p w14:paraId="2EE22A25">
      <w:pPr>
        <w:pStyle w:val="3"/>
      </w:pPr>
      <w:r>
        <w:rPr>
          <w:rFonts w:ascii="Times New Roman" w:hAnsi="Times New Roman" w:eastAsia="微软雅黑"/>
          <w:sz w:val="24"/>
        </w:rPr>
        <w:t>B公司的利息保障倍数2.9，不算危险，但如果利润再下降30%，利息保障倍数就会接近2，开始进入需要关注的区间。</w:t>
      </w:r>
    </w:p>
    <w:p w14:paraId="028AF601">
      <w:r>
        <w:pict>
          <v:rect id="_x0000_i1034" o:spt="1" style="height:1.5pt;width:0pt;" coordsize="21600,21600" o:hr="t" o:hrstd="t" o:hralign="center">
            <v:path/>
            <v:fill focussize="0,0"/>
            <v:stroke/>
            <v:imagedata o:title=""/>
            <o:lock v:ext="edit"/>
            <w10:wrap type="none"/>
            <w10:anchorlock/>
          </v:rect>
        </w:pict>
      </w:r>
    </w:p>
    <w:bookmarkEnd w:id="14"/>
    <w:bookmarkEnd w:id="17"/>
    <w:p w14:paraId="451B6F07">
      <w:pPr>
        <w:pStyle w:val="4"/>
      </w:pPr>
      <w:bookmarkStart w:id="18" w:name="行业参照系与指标解释"/>
      <w:r>
        <w:rPr>
          <w:rFonts w:ascii="Times New Roman" w:hAnsi="Times New Roman" w:eastAsia="微软雅黑"/>
          <w:sz w:val="24"/>
        </w:rPr>
        <w:t>7.1.3 行业参照系与指标解释</w:t>
      </w:r>
    </w:p>
    <w:p w14:paraId="3D15B58F">
      <w:pPr>
        <w:pStyle w:val="5"/>
      </w:pPr>
      <w:bookmarkStart w:id="19" w:name="为什么不能脱离行业背景解读比率"/>
      <w:r>
        <w:rPr>
          <w:rFonts w:ascii="Times New Roman" w:hAnsi="Times New Roman" w:eastAsia="微软雅黑"/>
          <w:sz w:val="24"/>
        </w:rPr>
        <w:t>1. 为什么不能脱离行业背景解读比率</w:t>
      </w:r>
    </w:p>
    <w:p w14:paraId="0617F1CF">
      <w:pPr>
        <w:pStyle w:val="23"/>
      </w:pPr>
      <w:r>
        <w:rPr>
          <w:rFonts w:ascii="Times New Roman" w:hAnsi="Times New Roman" w:eastAsia="微软雅黑"/>
          <w:sz w:val="24"/>
        </w:rPr>
        <w:t>财务比率的高低，很大程度上取决于行业特性，没有行业背景的判断标准参考意义有限。</w:t>
      </w:r>
    </w:p>
    <w:p w14:paraId="6AB2839D">
      <w:pPr>
        <w:pStyle w:val="3"/>
      </w:pPr>
      <w:r>
        <w:rPr>
          <w:rFonts w:ascii="Times New Roman" w:hAnsi="Times New Roman" w:eastAsia="微软雅黑"/>
          <w:sz w:val="24"/>
        </w:rPr>
        <w:t>以资产负债率为例：银行的资产负债率通常在90%以上，因为吸收存款本身就是负债；零售企业的资产负债率可能在50%—70%；而一家轻资产的软件企业可能只有20%。把银行的资产负债率和软件公司比，没有任何意义。</w:t>
      </w:r>
    </w:p>
    <w:p w14:paraId="572C4610">
      <w:pPr>
        <w:pStyle w:val="3"/>
      </w:pPr>
      <w:r>
        <w:rPr>
          <w:rFonts w:ascii="Times New Roman" w:hAnsi="Times New Roman" w:eastAsia="微软雅黑"/>
          <w:sz w:val="24"/>
        </w:rPr>
        <w:t>以应收账款周转天数为例：大型家电企业给经销商60天账期是常见的行业惯例，如果用这个标准去评估一家现金收款的餐饮企业，得出“应收账款周转速度很快”这种废话级别的结论，对分析毫无帮助。</w:t>
      </w:r>
    </w:p>
    <w:p w14:paraId="2E5C73CE">
      <w:pPr>
        <w:pStyle w:val="3"/>
      </w:pPr>
      <w:r>
        <w:rPr>
          <w:rFonts w:ascii="Times New Roman" w:hAnsi="Times New Roman" w:eastAsia="微软雅黑"/>
          <w:sz w:val="24"/>
        </w:rPr>
        <w:t>不同行业的财务比率参考范围差异见表7-7。</w:t>
      </w:r>
    </w:p>
    <w:p w14:paraId="35860144">
      <w:pPr>
        <w:jc w:val="center"/>
        <w:pStyle w:val="3"/>
      </w:pPr>
      <w:r>
        <w:rPr>
          <w:rFonts w:ascii="Times New Roman" w:hAnsi="Times New Roman" w:eastAsia="微软雅黑"/>
          <w:b/>
          <w:bCs/>
          <w:sz w:val="24"/>
        </w:rPr>
        <w:t>表7-7 几类典型行业的财务比率参考范围</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71"/>
        <w:gridCol w:w="1513"/>
        <w:gridCol w:w="1735"/>
        <w:gridCol w:w="2923"/>
        <w:gridCol w:w="1314"/>
      </w:tblGrid>
      <w:tr w14:paraId="154BE23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C4991A0">
            <w:pPr>
              <w:pStyle w:val="24"/>
              <w:jc w:val="left"/>
            </w:pPr>
            <w:r>
              <w:rPr>
                <w:rFonts w:ascii="Times New Roman" w:hAnsi="Times New Roman" w:eastAsia="微软雅黑"/>
                <w:b/>
                <w:color w:val="1E3A8A"/>
                <w:sz w:val="22"/>
              </w:rPr>
              <w:t>行业</w:t>
            </w:r>
          </w:p>
        </w:tc>
        <w:tc>
          <w:tcPr>
            <w:tcBorders>
              <w:top w:val="single" w:color="E2E8F0" w:sz="6" w:space="0"/>
              <w:left w:val="single" w:color="E2E8F0" w:sz="6" w:space="0"/>
              <w:bottom w:val="single" w:color="E2E8F0" w:sz="6" w:space="0"/>
              <w:right w:val="single" w:color="E2E8F0" w:sz="6" w:space="0"/>
            </w:tcBorders>
            <w:shd w:val="clear" w:color="auto" w:fill="EEF4FF"/>
          </w:tcPr>
          <w:p w14:paraId="31E68F3F">
            <w:pPr>
              <w:pStyle w:val="24"/>
              <w:jc w:val="left"/>
            </w:pPr>
            <w:r>
              <w:rPr>
                <w:rFonts w:ascii="Times New Roman" w:hAnsi="Times New Roman" w:eastAsia="微软雅黑"/>
                <w:b/>
                <w:color w:val="1E3A8A"/>
                <w:sz w:val="22"/>
              </w:rPr>
              <w:t>流动比率参考</w:t>
            </w:r>
          </w:p>
        </w:tc>
        <w:tc>
          <w:tcPr>
            <w:tcBorders>
              <w:top w:val="single" w:color="E2E8F0" w:sz="6" w:space="0"/>
              <w:left w:val="single" w:color="E2E8F0" w:sz="6" w:space="0"/>
              <w:bottom w:val="single" w:color="E2E8F0" w:sz="6" w:space="0"/>
              <w:right w:val="single" w:color="E2E8F0" w:sz="6" w:space="0"/>
            </w:tcBorders>
            <w:shd w:val="clear" w:color="auto" w:fill="EEF4FF"/>
          </w:tcPr>
          <w:p w14:paraId="5464F57D">
            <w:pPr>
              <w:pStyle w:val="24"/>
              <w:jc w:val="left"/>
            </w:pPr>
            <w:r>
              <w:rPr>
                <w:rFonts w:ascii="Times New Roman" w:hAnsi="Times New Roman" w:eastAsia="微软雅黑"/>
                <w:b/>
                <w:color w:val="1E3A8A"/>
                <w:sz w:val="22"/>
              </w:rPr>
              <w:t>资产负债率参考</w:t>
            </w:r>
          </w:p>
        </w:tc>
        <w:tc>
          <w:tcPr>
            <w:tcBorders>
              <w:top w:val="single" w:color="E2E8F0" w:sz="6" w:space="0"/>
              <w:left w:val="single" w:color="E2E8F0" w:sz="6" w:space="0"/>
              <w:bottom w:val="single" w:color="E2E8F0" w:sz="6" w:space="0"/>
              <w:right w:val="single" w:color="E2E8F0" w:sz="6" w:space="0"/>
            </w:tcBorders>
            <w:shd w:val="clear" w:color="auto" w:fill="EEF4FF"/>
          </w:tcPr>
          <w:p w14:paraId="17179462">
            <w:pPr>
              <w:pStyle w:val="24"/>
              <w:jc w:val="left"/>
            </w:pPr>
            <w:r>
              <w:rPr>
                <w:rFonts w:ascii="Times New Roman" w:hAnsi="Times New Roman" w:eastAsia="微软雅黑"/>
                <w:b/>
                <w:color w:val="1E3A8A"/>
                <w:sz w:val="22"/>
              </w:rPr>
              <w:t>应收账款周转天数参考</w:t>
            </w:r>
          </w:p>
        </w:tc>
        <w:tc>
          <w:tcPr>
            <w:tcBorders>
              <w:top w:val="single" w:color="E2E8F0" w:sz="6" w:space="0"/>
              <w:left w:val="single" w:color="E2E8F0" w:sz="6" w:space="0"/>
              <w:bottom w:val="single" w:color="E2E8F0" w:sz="6" w:space="0"/>
              <w:right w:val="single" w:color="E2E8F0" w:sz="6" w:space="0"/>
            </w:tcBorders>
            <w:shd w:val="clear" w:color="auto" w:fill="EEF4FF"/>
          </w:tcPr>
          <w:p w14:paraId="014D4A9A">
            <w:pPr>
              <w:pStyle w:val="24"/>
              <w:jc w:val="left"/>
            </w:pPr>
            <w:r>
              <w:rPr>
                <w:rFonts w:ascii="Times New Roman" w:hAnsi="Times New Roman" w:eastAsia="微软雅黑"/>
                <w:b/>
                <w:color w:val="1E3A8A"/>
                <w:sz w:val="22"/>
              </w:rPr>
              <w:t>净利率参考</w:t>
            </w:r>
          </w:p>
        </w:tc>
      </w:tr>
      <w:tr w14:paraId="7BFB3AD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07E504C">
            <w:pPr>
              <w:pStyle w:val="24"/>
              <w:jc w:val="left"/>
            </w:pPr>
            <w:r>
              <w:rPr>
                <w:rFonts w:ascii="Times New Roman" w:hAnsi="Times New Roman" w:eastAsia="微软雅黑"/>
                <w:sz w:val="22"/>
              </w:rPr>
              <w:t>餐饮业</w:t>
            </w:r>
          </w:p>
        </w:tc>
        <w:tc>
          <w:tcPr>
            <w:tcBorders>
              <w:top w:val="single" w:color="E2E8F0" w:sz="6" w:space="0"/>
              <w:left w:val="single" w:color="E2E8F0" w:sz="6" w:space="0"/>
              <w:bottom w:val="single" w:color="E2E8F0" w:sz="6" w:space="0"/>
              <w:right w:val="single" w:color="E2E8F0" w:sz="6" w:space="0"/>
            </w:tcBorders>
          </w:tcPr>
          <w:p w14:paraId="74D612C4">
            <w:pPr>
              <w:pStyle w:val="24"/>
              <w:jc w:val="left"/>
            </w:pPr>
            <w:r>
              <w:rPr>
                <w:rFonts w:ascii="Times New Roman" w:hAnsi="Times New Roman" w:eastAsia="微软雅黑"/>
                <w:sz w:val="22"/>
              </w:rPr>
              <w:t>0.8—1.5</w:t>
            </w:r>
          </w:p>
        </w:tc>
        <w:tc>
          <w:tcPr>
            <w:tcBorders>
              <w:top w:val="single" w:color="E2E8F0" w:sz="6" w:space="0"/>
              <w:left w:val="single" w:color="E2E8F0" w:sz="6" w:space="0"/>
              <w:bottom w:val="single" w:color="E2E8F0" w:sz="6" w:space="0"/>
              <w:right w:val="single" w:color="E2E8F0" w:sz="6" w:space="0"/>
            </w:tcBorders>
          </w:tcPr>
          <w:p w14:paraId="578FC3BF">
            <w:pPr>
              <w:pStyle w:val="24"/>
              <w:jc w:val="left"/>
            </w:pPr>
            <w:r>
              <w:rPr>
                <w:rFonts w:ascii="Times New Roman" w:hAnsi="Times New Roman" w:eastAsia="微软雅黑"/>
                <w:sz w:val="22"/>
              </w:rPr>
              <w:t>40%—65%</w:t>
            </w:r>
          </w:p>
        </w:tc>
        <w:tc>
          <w:tcPr>
            <w:tcBorders>
              <w:top w:val="single" w:color="E2E8F0" w:sz="6" w:space="0"/>
              <w:left w:val="single" w:color="E2E8F0" w:sz="6" w:space="0"/>
              <w:bottom w:val="single" w:color="E2E8F0" w:sz="6" w:space="0"/>
              <w:right w:val="single" w:color="E2E8F0" w:sz="6" w:space="0"/>
            </w:tcBorders>
          </w:tcPr>
          <w:p w14:paraId="79642AFA">
            <w:pPr>
              <w:pStyle w:val="24"/>
              <w:jc w:val="left"/>
            </w:pPr>
            <w:r>
              <w:rPr>
                <w:rFonts w:ascii="Times New Roman" w:hAnsi="Times New Roman" w:eastAsia="微软雅黑"/>
                <w:sz w:val="22"/>
              </w:rPr>
              <w:t>0—20天（多为现金结算）</w:t>
            </w:r>
          </w:p>
        </w:tc>
        <w:tc>
          <w:tcPr>
            <w:tcBorders>
              <w:top w:val="single" w:color="E2E8F0" w:sz="6" w:space="0"/>
              <w:left w:val="single" w:color="E2E8F0" w:sz="6" w:space="0"/>
              <w:bottom w:val="single" w:color="E2E8F0" w:sz="6" w:space="0"/>
              <w:right w:val="single" w:color="E2E8F0" w:sz="6" w:space="0"/>
            </w:tcBorders>
          </w:tcPr>
          <w:p w14:paraId="2B098D43">
            <w:pPr>
              <w:pStyle w:val="24"/>
              <w:jc w:val="left"/>
            </w:pPr>
            <w:r>
              <w:rPr>
                <w:rFonts w:ascii="Times New Roman" w:hAnsi="Times New Roman" w:eastAsia="微软雅黑"/>
                <w:sz w:val="22"/>
              </w:rPr>
              <w:t>5%—15%</w:t>
            </w:r>
          </w:p>
        </w:tc>
      </w:tr>
      <w:tr w14:paraId="7AC5300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650179A">
            <w:pPr>
              <w:pStyle w:val="24"/>
              <w:jc w:val="left"/>
            </w:pPr>
            <w:r>
              <w:rPr>
                <w:rFonts w:ascii="Times New Roman" w:hAnsi="Times New Roman" w:eastAsia="微软雅黑"/>
                <w:sz w:val="22"/>
              </w:rPr>
              <w:t>制造业</w:t>
            </w:r>
          </w:p>
        </w:tc>
        <w:tc>
          <w:tcPr>
            <w:tcBorders>
              <w:top w:val="single" w:color="E2E8F0" w:sz="6" w:space="0"/>
              <w:left w:val="single" w:color="E2E8F0" w:sz="6" w:space="0"/>
              <w:bottom w:val="single" w:color="E2E8F0" w:sz="6" w:space="0"/>
              <w:right w:val="single" w:color="E2E8F0" w:sz="6" w:space="0"/>
            </w:tcBorders>
            <w:shd w:val="clear" w:color="auto" w:fill="F8FAFC"/>
          </w:tcPr>
          <w:p w14:paraId="50405827">
            <w:pPr>
              <w:pStyle w:val="24"/>
              <w:jc w:val="left"/>
            </w:pPr>
            <w:r>
              <w:rPr>
                <w:rFonts w:ascii="Times New Roman" w:hAnsi="Times New Roman" w:eastAsia="微软雅黑"/>
                <w:sz w:val="22"/>
              </w:rPr>
              <w:t>1.2—2.5</w:t>
            </w:r>
          </w:p>
        </w:tc>
        <w:tc>
          <w:tcPr>
            <w:tcBorders>
              <w:top w:val="single" w:color="E2E8F0" w:sz="6" w:space="0"/>
              <w:left w:val="single" w:color="E2E8F0" w:sz="6" w:space="0"/>
              <w:bottom w:val="single" w:color="E2E8F0" w:sz="6" w:space="0"/>
              <w:right w:val="single" w:color="E2E8F0" w:sz="6" w:space="0"/>
            </w:tcBorders>
            <w:shd w:val="clear" w:color="auto" w:fill="F8FAFC"/>
          </w:tcPr>
          <w:p w14:paraId="360624BB">
            <w:pPr>
              <w:pStyle w:val="24"/>
              <w:jc w:val="left"/>
            </w:pPr>
            <w:r>
              <w:rPr>
                <w:rFonts w:ascii="Times New Roman" w:hAnsi="Times New Roman" w:eastAsia="微软雅黑"/>
                <w:sz w:val="22"/>
              </w:rPr>
              <w:t>45%—65%</w:t>
            </w:r>
          </w:p>
        </w:tc>
        <w:tc>
          <w:tcPr>
            <w:tcBorders>
              <w:top w:val="single" w:color="E2E8F0" w:sz="6" w:space="0"/>
              <w:left w:val="single" w:color="E2E8F0" w:sz="6" w:space="0"/>
              <w:bottom w:val="single" w:color="E2E8F0" w:sz="6" w:space="0"/>
              <w:right w:val="single" w:color="E2E8F0" w:sz="6" w:space="0"/>
            </w:tcBorders>
            <w:shd w:val="clear" w:color="auto" w:fill="F8FAFC"/>
          </w:tcPr>
          <w:p w14:paraId="7861ADB0">
            <w:pPr>
              <w:pStyle w:val="24"/>
              <w:jc w:val="left"/>
            </w:pPr>
            <w:r>
              <w:rPr>
                <w:rFonts w:ascii="Times New Roman" w:hAnsi="Times New Roman" w:eastAsia="微软雅黑"/>
                <w:sz w:val="22"/>
              </w:rPr>
              <w:t>30—90天</w:t>
            </w:r>
          </w:p>
        </w:tc>
        <w:tc>
          <w:tcPr>
            <w:tcBorders>
              <w:top w:val="single" w:color="E2E8F0" w:sz="6" w:space="0"/>
              <w:left w:val="single" w:color="E2E8F0" w:sz="6" w:space="0"/>
              <w:bottom w:val="single" w:color="E2E8F0" w:sz="6" w:space="0"/>
              <w:right w:val="single" w:color="E2E8F0" w:sz="6" w:space="0"/>
            </w:tcBorders>
            <w:shd w:val="clear" w:color="auto" w:fill="F8FAFC"/>
          </w:tcPr>
          <w:p w14:paraId="37EBB9F2">
            <w:pPr>
              <w:pStyle w:val="24"/>
              <w:jc w:val="left"/>
            </w:pPr>
            <w:r>
              <w:rPr>
                <w:rFonts w:ascii="Times New Roman" w:hAnsi="Times New Roman" w:eastAsia="微软雅黑"/>
                <w:sz w:val="22"/>
              </w:rPr>
              <w:t>3%—12%</w:t>
            </w:r>
          </w:p>
        </w:tc>
      </w:tr>
      <w:tr w14:paraId="6FB6513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148475D">
            <w:pPr>
              <w:pStyle w:val="24"/>
              <w:jc w:val="left"/>
            </w:pPr>
            <w:r>
              <w:rPr>
                <w:rFonts w:ascii="Times New Roman" w:hAnsi="Times New Roman" w:eastAsia="微软雅黑"/>
                <w:sz w:val="22"/>
              </w:rPr>
              <w:t>零售业</w:t>
            </w:r>
          </w:p>
        </w:tc>
        <w:tc>
          <w:tcPr>
            <w:tcBorders>
              <w:top w:val="single" w:color="E2E8F0" w:sz="6" w:space="0"/>
              <w:left w:val="single" w:color="E2E8F0" w:sz="6" w:space="0"/>
              <w:bottom w:val="single" w:color="E2E8F0" w:sz="6" w:space="0"/>
              <w:right w:val="single" w:color="E2E8F0" w:sz="6" w:space="0"/>
            </w:tcBorders>
          </w:tcPr>
          <w:p w14:paraId="200BBABD">
            <w:pPr>
              <w:pStyle w:val="24"/>
              <w:jc w:val="left"/>
            </w:pPr>
            <w:r>
              <w:rPr>
                <w:rFonts w:ascii="Times New Roman" w:hAnsi="Times New Roman" w:eastAsia="微软雅黑"/>
                <w:sz w:val="22"/>
              </w:rPr>
              <w:t>1.0—2.0</w:t>
            </w:r>
          </w:p>
        </w:tc>
        <w:tc>
          <w:tcPr>
            <w:tcBorders>
              <w:top w:val="single" w:color="E2E8F0" w:sz="6" w:space="0"/>
              <w:left w:val="single" w:color="E2E8F0" w:sz="6" w:space="0"/>
              <w:bottom w:val="single" w:color="E2E8F0" w:sz="6" w:space="0"/>
              <w:right w:val="single" w:color="E2E8F0" w:sz="6" w:space="0"/>
            </w:tcBorders>
          </w:tcPr>
          <w:p w14:paraId="0521C3BC">
            <w:pPr>
              <w:pStyle w:val="24"/>
              <w:jc w:val="left"/>
            </w:pPr>
            <w:r>
              <w:rPr>
                <w:rFonts w:ascii="Times New Roman" w:hAnsi="Times New Roman" w:eastAsia="微软雅黑"/>
                <w:sz w:val="22"/>
              </w:rPr>
              <w:t>50%—70%</w:t>
            </w:r>
          </w:p>
        </w:tc>
        <w:tc>
          <w:tcPr>
            <w:tcBorders>
              <w:top w:val="single" w:color="E2E8F0" w:sz="6" w:space="0"/>
              <w:left w:val="single" w:color="E2E8F0" w:sz="6" w:space="0"/>
              <w:bottom w:val="single" w:color="E2E8F0" w:sz="6" w:space="0"/>
              <w:right w:val="single" w:color="E2E8F0" w:sz="6" w:space="0"/>
            </w:tcBorders>
          </w:tcPr>
          <w:p w14:paraId="124BB3E1">
            <w:pPr>
              <w:pStyle w:val="24"/>
              <w:jc w:val="left"/>
            </w:pPr>
            <w:r>
              <w:rPr>
                <w:rFonts w:ascii="Times New Roman" w:hAnsi="Times New Roman" w:eastAsia="微软雅黑"/>
                <w:sz w:val="22"/>
              </w:rPr>
              <w:t>0—30天（主要靠应付账款）</w:t>
            </w:r>
          </w:p>
        </w:tc>
        <w:tc>
          <w:tcPr>
            <w:tcBorders>
              <w:top w:val="single" w:color="E2E8F0" w:sz="6" w:space="0"/>
              <w:left w:val="single" w:color="E2E8F0" w:sz="6" w:space="0"/>
              <w:bottom w:val="single" w:color="E2E8F0" w:sz="6" w:space="0"/>
              <w:right w:val="single" w:color="E2E8F0" w:sz="6" w:space="0"/>
            </w:tcBorders>
          </w:tcPr>
          <w:p w14:paraId="5ED0A83E">
            <w:pPr>
              <w:pStyle w:val="24"/>
              <w:jc w:val="left"/>
            </w:pPr>
            <w:r>
              <w:rPr>
                <w:rFonts w:ascii="Times New Roman" w:hAnsi="Times New Roman" w:eastAsia="微软雅黑"/>
                <w:sz w:val="22"/>
              </w:rPr>
              <w:t>2%—8%</w:t>
            </w:r>
          </w:p>
        </w:tc>
      </w:tr>
      <w:tr w14:paraId="19A7BB5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898619D">
            <w:pPr>
              <w:pStyle w:val="24"/>
              <w:jc w:val="left"/>
            </w:pPr>
            <w:r>
              <w:rPr>
                <w:rFonts w:ascii="Times New Roman" w:hAnsi="Times New Roman" w:eastAsia="微软雅黑"/>
                <w:sz w:val="22"/>
              </w:rPr>
              <w:t>软件/IT服务</w:t>
            </w:r>
          </w:p>
        </w:tc>
        <w:tc>
          <w:tcPr>
            <w:tcBorders>
              <w:top w:val="single" w:color="E2E8F0" w:sz="6" w:space="0"/>
              <w:left w:val="single" w:color="E2E8F0" w:sz="6" w:space="0"/>
              <w:bottom w:val="single" w:color="E2E8F0" w:sz="6" w:space="0"/>
              <w:right w:val="single" w:color="E2E8F0" w:sz="6" w:space="0"/>
            </w:tcBorders>
            <w:shd w:val="clear" w:color="auto" w:fill="F8FAFC"/>
          </w:tcPr>
          <w:p w14:paraId="7A8CC7E9">
            <w:pPr>
              <w:pStyle w:val="24"/>
              <w:jc w:val="left"/>
            </w:pPr>
            <w:r>
              <w:rPr>
                <w:rFonts w:ascii="Times New Roman" w:hAnsi="Times New Roman" w:eastAsia="微软雅黑"/>
                <w:sz w:val="22"/>
              </w:rPr>
              <w:t>1.5—4.0</w:t>
            </w:r>
          </w:p>
        </w:tc>
        <w:tc>
          <w:tcPr>
            <w:tcBorders>
              <w:top w:val="single" w:color="E2E8F0" w:sz="6" w:space="0"/>
              <w:left w:val="single" w:color="E2E8F0" w:sz="6" w:space="0"/>
              <w:bottom w:val="single" w:color="E2E8F0" w:sz="6" w:space="0"/>
              <w:right w:val="single" w:color="E2E8F0" w:sz="6" w:space="0"/>
            </w:tcBorders>
            <w:shd w:val="clear" w:color="auto" w:fill="F8FAFC"/>
          </w:tcPr>
          <w:p w14:paraId="23322ECB">
            <w:pPr>
              <w:pStyle w:val="24"/>
              <w:jc w:val="left"/>
            </w:pPr>
            <w:r>
              <w:rPr>
                <w:rFonts w:ascii="Times New Roman" w:hAnsi="Times New Roman" w:eastAsia="微软雅黑"/>
                <w:sz w:val="22"/>
              </w:rPr>
              <w:t>20%—50%</w:t>
            </w:r>
          </w:p>
        </w:tc>
        <w:tc>
          <w:tcPr>
            <w:tcBorders>
              <w:top w:val="single" w:color="E2E8F0" w:sz="6" w:space="0"/>
              <w:left w:val="single" w:color="E2E8F0" w:sz="6" w:space="0"/>
              <w:bottom w:val="single" w:color="E2E8F0" w:sz="6" w:space="0"/>
              <w:right w:val="single" w:color="E2E8F0" w:sz="6" w:space="0"/>
            </w:tcBorders>
            <w:shd w:val="clear" w:color="auto" w:fill="F8FAFC"/>
          </w:tcPr>
          <w:p w14:paraId="496DB56E">
            <w:pPr>
              <w:pStyle w:val="24"/>
              <w:jc w:val="left"/>
            </w:pPr>
            <w:r>
              <w:rPr>
                <w:rFonts w:ascii="Times New Roman" w:hAnsi="Times New Roman" w:eastAsia="微软雅黑"/>
                <w:sz w:val="22"/>
              </w:rPr>
              <w:t>30—90天</w:t>
            </w:r>
          </w:p>
        </w:tc>
        <w:tc>
          <w:tcPr>
            <w:tcBorders>
              <w:top w:val="single" w:color="E2E8F0" w:sz="6" w:space="0"/>
              <w:left w:val="single" w:color="E2E8F0" w:sz="6" w:space="0"/>
              <w:bottom w:val="single" w:color="E2E8F0" w:sz="6" w:space="0"/>
              <w:right w:val="single" w:color="E2E8F0" w:sz="6" w:space="0"/>
            </w:tcBorders>
            <w:shd w:val="clear" w:color="auto" w:fill="F8FAFC"/>
          </w:tcPr>
          <w:p w14:paraId="4ACBD601">
            <w:pPr>
              <w:pStyle w:val="24"/>
              <w:jc w:val="left"/>
            </w:pPr>
            <w:r>
              <w:rPr>
                <w:rFonts w:ascii="Times New Roman" w:hAnsi="Times New Roman" w:eastAsia="微软雅黑"/>
                <w:sz w:val="22"/>
              </w:rPr>
              <w:t>10%—30%</w:t>
            </w:r>
          </w:p>
        </w:tc>
      </w:tr>
      <w:tr w14:paraId="573DE7F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BC21C4A">
            <w:pPr>
              <w:pStyle w:val="24"/>
              <w:jc w:val="left"/>
            </w:pPr>
            <w:r>
              <w:rPr>
                <w:rFonts w:ascii="Times New Roman" w:hAnsi="Times New Roman" w:eastAsia="微软雅黑"/>
                <w:sz w:val="22"/>
              </w:rPr>
              <w:t>房地产</w:t>
            </w:r>
          </w:p>
        </w:tc>
        <w:tc>
          <w:tcPr>
            <w:tcBorders>
              <w:top w:val="single" w:color="E2E8F0" w:sz="6" w:space="0"/>
              <w:left w:val="single" w:color="E2E8F0" w:sz="6" w:space="0"/>
              <w:bottom w:val="single" w:color="E2E8F0" w:sz="6" w:space="0"/>
              <w:right w:val="single" w:color="E2E8F0" w:sz="6" w:space="0"/>
            </w:tcBorders>
          </w:tcPr>
          <w:p w14:paraId="3B820C1D">
            <w:pPr>
              <w:pStyle w:val="24"/>
              <w:jc w:val="left"/>
            </w:pPr>
            <w:r>
              <w:rPr>
                <w:rFonts w:ascii="Times New Roman" w:hAnsi="Times New Roman" w:eastAsia="微软雅黑"/>
                <w:sz w:val="22"/>
              </w:rPr>
              <w:t>1.0—2.0</w:t>
            </w:r>
          </w:p>
        </w:tc>
        <w:tc>
          <w:tcPr>
            <w:tcBorders>
              <w:top w:val="single" w:color="E2E8F0" w:sz="6" w:space="0"/>
              <w:left w:val="single" w:color="E2E8F0" w:sz="6" w:space="0"/>
              <w:bottom w:val="single" w:color="E2E8F0" w:sz="6" w:space="0"/>
              <w:right w:val="single" w:color="E2E8F0" w:sz="6" w:space="0"/>
            </w:tcBorders>
          </w:tcPr>
          <w:p w14:paraId="34F68206">
            <w:pPr>
              <w:pStyle w:val="24"/>
              <w:jc w:val="left"/>
            </w:pPr>
            <w:r>
              <w:rPr>
                <w:rFonts w:ascii="Times New Roman" w:hAnsi="Times New Roman" w:eastAsia="微软雅黑"/>
                <w:sz w:val="22"/>
              </w:rPr>
              <w:t>65%—80%</w:t>
            </w:r>
          </w:p>
        </w:tc>
        <w:tc>
          <w:tcPr>
            <w:tcBorders>
              <w:top w:val="single" w:color="E2E8F0" w:sz="6" w:space="0"/>
              <w:left w:val="single" w:color="E2E8F0" w:sz="6" w:space="0"/>
              <w:bottom w:val="single" w:color="E2E8F0" w:sz="6" w:space="0"/>
              <w:right w:val="single" w:color="E2E8F0" w:sz="6" w:space="0"/>
            </w:tcBorders>
          </w:tcPr>
          <w:p w14:paraId="0EA8409E">
            <w:pPr>
              <w:pStyle w:val="24"/>
              <w:jc w:val="left"/>
            </w:pPr>
            <w:r>
              <w:rPr>
                <w:rFonts w:ascii="Times New Roman" w:hAnsi="Times New Roman" w:eastAsia="微软雅黑"/>
                <w:sz w:val="22"/>
              </w:rPr>
              <w:t>依项目周期差异大</w:t>
            </w:r>
          </w:p>
        </w:tc>
        <w:tc>
          <w:tcPr>
            <w:tcBorders>
              <w:top w:val="single" w:color="E2E8F0" w:sz="6" w:space="0"/>
              <w:left w:val="single" w:color="E2E8F0" w:sz="6" w:space="0"/>
              <w:bottom w:val="single" w:color="E2E8F0" w:sz="6" w:space="0"/>
              <w:right w:val="single" w:color="E2E8F0" w:sz="6" w:space="0"/>
            </w:tcBorders>
          </w:tcPr>
          <w:p w14:paraId="1851B72A">
            <w:pPr>
              <w:pStyle w:val="24"/>
              <w:jc w:val="left"/>
            </w:pPr>
            <w:r>
              <w:rPr>
                <w:rFonts w:ascii="Times New Roman" w:hAnsi="Times New Roman" w:eastAsia="微软雅黑"/>
                <w:sz w:val="22"/>
              </w:rPr>
              <w:t>5%—15%</w:t>
            </w:r>
          </w:p>
        </w:tc>
      </w:tr>
    </w:tbl>
    <w:p w14:paraId="374CB642">
      <w:pPr>
        <w:pStyle w:val="3"/>
      </w:pPr>
      <w:r>
        <w:rPr>
          <w:rFonts w:ascii="Times New Roman" w:hAnsi="Times New Roman" w:eastAsia="微软雅黑"/>
          <w:sz w:val="24"/>
        </w:rPr>
        <w:t>说明：以上数据为行业整体概况的大致参考范围，不同细分市场、企业规模差异较大，仅供方向性参考。</w:t>
      </w:r>
    </w:p>
    <w:bookmarkEnd w:id="19"/>
    <w:p w14:paraId="727FFC2C">
      <w:pPr>
        <w:pStyle w:val="5"/>
      </w:pPr>
      <w:bookmarkStart w:id="20" w:name="获取行业参照数据的途径"/>
      <w:r>
        <w:rPr>
          <w:rFonts w:ascii="Times New Roman" w:hAnsi="Times New Roman" w:eastAsia="微软雅黑"/>
          <w:sz w:val="24"/>
        </w:rPr>
        <w:t>2. 获取行业参照数据的途径</w:t>
      </w:r>
    </w:p>
    <w:p w14:paraId="62C1D613">
      <w:pPr>
        <w:pStyle w:val="23"/>
      </w:pPr>
      <w:r>
        <w:rPr>
          <w:rFonts w:ascii="Times New Roman" w:hAnsi="Times New Roman" w:eastAsia="微软雅黑"/>
          <w:sz w:val="24"/>
        </w:rPr>
        <w:t>在实际工作中，获取行业参照数据主要有以下几个渠道，见表7-8。</w:t>
      </w:r>
    </w:p>
    <w:p w14:paraId="7DAA4DD8">
      <w:pPr>
        <w:jc w:val="center"/>
        <w:pStyle w:val="3"/>
      </w:pPr>
      <w:r>
        <w:rPr>
          <w:rFonts w:ascii="Times New Roman" w:hAnsi="Times New Roman" w:eastAsia="微软雅黑"/>
          <w:b/>
          <w:bCs/>
          <w:sz w:val="24"/>
        </w:rPr>
        <w:t>表7-8 行业财务数据的获取渠道</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45"/>
        <w:gridCol w:w="2922"/>
        <w:gridCol w:w="2171"/>
        <w:gridCol w:w="2318"/>
      </w:tblGrid>
      <w:tr w14:paraId="5C81B7D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592FCA4">
            <w:pPr>
              <w:pStyle w:val="24"/>
              <w:jc w:val="left"/>
            </w:pPr>
            <w:r>
              <w:rPr>
                <w:rFonts w:ascii="Times New Roman" w:hAnsi="Times New Roman" w:eastAsia="微软雅黑"/>
                <w:b/>
                <w:color w:val="1E3A8A"/>
                <w:sz w:val="22"/>
              </w:rPr>
              <w:t>来源</w:t>
            </w:r>
          </w:p>
        </w:tc>
        <w:tc>
          <w:tcPr>
            <w:tcBorders>
              <w:top w:val="single" w:color="E2E8F0" w:sz="6" w:space="0"/>
              <w:left w:val="single" w:color="E2E8F0" w:sz="6" w:space="0"/>
              <w:bottom w:val="single" w:color="E2E8F0" w:sz="6" w:space="0"/>
              <w:right w:val="single" w:color="E2E8F0" w:sz="6" w:space="0"/>
            </w:tcBorders>
            <w:shd w:val="clear" w:color="auto" w:fill="EEF4FF"/>
          </w:tcPr>
          <w:p w14:paraId="06EE0507">
            <w:pPr>
              <w:pStyle w:val="24"/>
              <w:jc w:val="left"/>
            </w:pPr>
            <w:r>
              <w:rPr>
                <w:rFonts w:ascii="Times New Roman" w:hAnsi="Times New Roman" w:eastAsia="微软雅黑"/>
                <w:b/>
                <w:color w:val="1E3A8A"/>
                <w:sz w:val="22"/>
              </w:rPr>
              <w:t>数据类型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4203B6C9">
            <w:pPr>
              <w:pStyle w:val="24"/>
              <w:jc w:val="left"/>
            </w:pPr>
            <w:r>
              <w:rPr>
                <w:rFonts w:ascii="Times New Roman" w:hAnsi="Times New Roman" w:eastAsia="微软雅黑"/>
                <w:b/>
                <w:color w:val="1E3A8A"/>
                <w:sz w:val="22"/>
              </w:rPr>
              <w:t>获取方式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44AD3E0E">
            <w:pPr>
              <w:pStyle w:val="24"/>
              <w:jc w:val="left"/>
            </w:pPr>
            <w:r>
              <w:rPr>
                <w:rFonts w:ascii="Times New Roman" w:hAnsi="Times New Roman" w:eastAsia="微软雅黑"/>
                <w:b/>
                <w:color w:val="1E3A8A"/>
                <w:sz w:val="22"/>
              </w:rPr>
              <w:t>数据质量</w:t>
            </w:r>
          </w:p>
        </w:tc>
      </w:tr>
      <w:tr w14:paraId="6F1636C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9527E3B">
            <w:pPr>
              <w:pStyle w:val="24"/>
              <w:jc w:val="left"/>
            </w:pPr>
            <w:r>
              <w:rPr>
                <w:rFonts w:ascii="Times New Roman" w:hAnsi="Times New Roman" w:eastAsia="微软雅黑"/>
                <w:sz w:val="22"/>
              </w:rPr>
              <w:t>国家统计局官网</w:t>
            </w:r>
          </w:p>
        </w:tc>
        <w:tc>
          <w:tcPr>
            <w:tcBorders>
              <w:top w:val="single" w:color="E2E8F0" w:sz="6" w:space="0"/>
              <w:left w:val="single" w:color="E2E8F0" w:sz="6" w:space="0"/>
              <w:bottom w:val="single" w:color="E2E8F0" w:sz="6" w:space="0"/>
              <w:right w:val="single" w:color="E2E8F0" w:sz="6" w:space="0"/>
            </w:tcBorders>
          </w:tcPr>
          <w:p w14:paraId="4D43D105">
            <w:pPr>
              <w:pStyle w:val="24"/>
              <w:jc w:val="left"/>
            </w:pPr>
            <w:r>
              <w:rPr>
                <w:rFonts w:ascii="Times New Roman" w:hAnsi="Times New Roman" w:eastAsia="微软雅黑"/>
                <w:sz w:val="22"/>
              </w:rPr>
              <w:t>规模以上工业、服务业分行业财务数据</w:t>
            </w:r>
          </w:p>
        </w:tc>
        <w:tc>
          <w:tcPr>
            <w:tcBorders>
              <w:top w:val="single" w:color="E2E8F0" w:sz="6" w:space="0"/>
              <w:left w:val="single" w:color="E2E8F0" w:sz="6" w:space="0"/>
              <w:bottom w:val="single" w:color="E2E8F0" w:sz="6" w:space="0"/>
              <w:right w:val="single" w:color="E2E8F0" w:sz="6" w:space="0"/>
            </w:tcBorders>
          </w:tcPr>
          <w:p w14:paraId="20289E01">
            <w:pPr>
              <w:pStyle w:val="24"/>
              <w:jc w:val="left"/>
            </w:pPr>
            <w:r>
              <w:rPr>
                <w:rFonts w:ascii="Times New Roman" w:hAnsi="Times New Roman" w:eastAsia="微软雅黑"/>
                <w:sz w:val="22"/>
              </w:rPr>
              <w:t>免费下载，数据相对滞后</w:t>
            </w:r>
          </w:p>
        </w:tc>
        <w:tc>
          <w:tcPr>
            <w:tcBorders>
              <w:top w:val="single" w:color="E2E8F0" w:sz="6" w:space="0"/>
              <w:left w:val="single" w:color="E2E8F0" w:sz="6" w:space="0"/>
              <w:bottom w:val="single" w:color="E2E8F0" w:sz="6" w:space="0"/>
              <w:right w:val="single" w:color="E2E8F0" w:sz="6" w:space="0"/>
            </w:tcBorders>
          </w:tcPr>
          <w:p w14:paraId="02BE4181">
            <w:pPr>
              <w:pStyle w:val="24"/>
              <w:jc w:val="left"/>
            </w:pPr>
            <w:r>
              <w:rPr>
                <w:rFonts w:ascii="Times New Roman" w:hAnsi="Times New Roman" w:eastAsia="微软雅黑"/>
                <w:sz w:val="22"/>
              </w:rPr>
              <w:t>可靠，但细分度有限</w:t>
            </w:r>
          </w:p>
        </w:tc>
      </w:tr>
      <w:tr w14:paraId="5239C98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3239AAD">
            <w:pPr>
              <w:pStyle w:val="24"/>
              <w:jc w:val="left"/>
            </w:pPr>
            <w:r>
              <w:rPr>
                <w:rFonts w:ascii="Times New Roman" w:hAnsi="Times New Roman" w:eastAsia="微软雅黑"/>
                <w:sz w:val="22"/>
              </w:rPr>
              <w:t>上市公司年报</w:t>
            </w:r>
          </w:p>
        </w:tc>
        <w:tc>
          <w:tcPr>
            <w:tcBorders>
              <w:top w:val="single" w:color="E2E8F0" w:sz="6" w:space="0"/>
              <w:left w:val="single" w:color="E2E8F0" w:sz="6" w:space="0"/>
              <w:bottom w:val="single" w:color="E2E8F0" w:sz="6" w:space="0"/>
              <w:right w:val="single" w:color="E2E8F0" w:sz="6" w:space="0"/>
            </w:tcBorders>
            <w:shd w:val="clear" w:color="auto" w:fill="F8FAFC"/>
          </w:tcPr>
          <w:p w14:paraId="1BF56D34">
            <w:pPr>
              <w:pStyle w:val="24"/>
              <w:jc w:val="left"/>
            </w:pPr>
            <w:r>
              <w:rPr>
                <w:rFonts w:ascii="Times New Roman" w:hAnsi="Times New Roman" w:eastAsia="微软雅黑"/>
                <w:sz w:val="22"/>
              </w:rPr>
              <w:t>同行业上市公司的详细财务数据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489BD2E8">
            <w:pPr>
              <w:pStyle w:val="24"/>
              <w:jc w:val="left"/>
            </w:pPr>
            <w:r>
              <w:rPr>
                <w:rFonts w:ascii="Times New Roman" w:hAnsi="Times New Roman" w:eastAsia="微软雅黑"/>
                <w:sz w:val="22"/>
              </w:rPr>
              <w:t>巨潮资讯、交易所官网下载</w:t>
            </w:r>
          </w:p>
        </w:tc>
        <w:tc>
          <w:tcPr>
            <w:tcBorders>
              <w:top w:val="single" w:color="E2E8F0" w:sz="6" w:space="0"/>
              <w:left w:val="single" w:color="E2E8F0" w:sz="6" w:space="0"/>
              <w:bottom w:val="single" w:color="E2E8F0" w:sz="6" w:space="0"/>
              <w:right w:val="single" w:color="E2E8F0" w:sz="6" w:space="0"/>
            </w:tcBorders>
            <w:shd w:val="clear" w:color="auto" w:fill="F8FAFC"/>
          </w:tcPr>
          <w:p w14:paraId="650935E8">
            <w:pPr>
              <w:pStyle w:val="24"/>
              <w:jc w:val="left"/>
            </w:pPr>
            <w:r>
              <w:rPr>
                <w:rFonts w:ascii="Times New Roman" w:hAnsi="Times New Roman" w:eastAsia="微软雅黑"/>
                <w:sz w:val="22"/>
              </w:rPr>
              <w:t>高质量，但只代表上市公司</w:t>
            </w:r>
          </w:p>
        </w:tc>
      </w:tr>
      <w:tr w14:paraId="1298C6D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ED2B4F4">
            <w:pPr>
              <w:pStyle w:val="24"/>
              <w:jc w:val="left"/>
            </w:pPr>
            <w:r>
              <w:rPr>
                <w:rFonts w:ascii="Times New Roman" w:hAnsi="Times New Roman" w:eastAsia="微软雅黑"/>
                <w:sz w:val="22"/>
              </w:rPr>
              <w:t>行业协会报告</w:t>
            </w:r>
          </w:p>
        </w:tc>
        <w:tc>
          <w:tcPr>
            <w:tcBorders>
              <w:top w:val="single" w:color="E2E8F0" w:sz="6" w:space="0"/>
              <w:left w:val="single" w:color="E2E8F0" w:sz="6" w:space="0"/>
              <w:bottom w:val="single" w:color="E2E8F0" w:sz="6" w:space="0"/>
              <w:right w:val="single" w:color="E2E8F0" w:sz="6" w:space="0"/>
            </w:tcBorders>
          </w:tcPr>
          <w:p w14:paraId="69FB13E8">
            <w:pPr>
              <w:pStyle w:val="24"/>
              <w:jc w:val="left"/>
            </w:pPr>
            <w:r>
              <w:rPr>
                <w:rFonts w:ascii="Times New Roman" w:hAnsi="Times New Roman" w:eastAsia="微软雅黑"/>
                <w:sz w:val="22"/>
              </w:rPr>
              <w:t>特定行业的经营状况综述</w:t>
            </w:r>
          </w:p>
        </w:tc>
        <w:tc>
          <w:tcPr>
            <w:tcBorders>
              <w:top w:val="single" w:color="E2E8F0" w:sz="6" w:space="0"/>
              <w:left w:val="single" w:color="E2E8F0" w:sz="6" w:space="0"/>
              <w:bottom w:val="single" w:color="E2E8F0" w:sz="6" w:space="0"/>
              <w:right w:val="single" w:color="E2E8F0" w:sz="6" w:space="0"/>
            </w:tcBorders>
          </w:tcPr>
          <w:p w14:paraId="7E1CFA0B">
            <w:pPr>
              <w:pStyle w:val="24"/>
              <w:jc w:val="left"/>
            </w:pPr>
            <w:r>
              <w:rPr>
                <w:rFonts w:ascii="Times New Roman" w:hAnsi="Times New Roman" w:eastAsia="微软雅黑"/>
                <w:sz w:val="22"/>
              </w:rPr>
              <w:t>协会官网或付费报告</w:t>
            </w:r>
          </w:p>
        </w:tc>
        <w:tc>
          <w:tcPr>
            <w:tcBorders>
              <w:top w:val="single" w:color="E2E8F0" w:sz="6" w:space="0"/>
              <w:left w:val="single" w:color="E2E8F0" w:sz="6" w:space="0"/>
              <w:bottom w:val="single" w:color="E2E8F0" w:sz="6" w:space="0"/>
              <w:right w:val="single" w:color="E2E8F0" w:sz="6" w:space="0"/>
            </w:tcBorders>
          </w:tcPr>
          <w:p w14:paraId="3122E560">
            <w:pPr>
              <w:pStyle w:val="24"/>
              <w:jc w:val="left"/>
            </w:pPr>
            <w:r>
              <w:rPr>
                <w:rFonts w:ascii="Times New Roman" w:hAnsi="Times New Roman" w:eastAsia="微软雅黑"/>
                <w:sz w:val="22"/>
              </w:rPr>
              <w:t>质量参差，需判断来源可靠性</w:t>
            </w:r>
          </w:p>
        </w:tc>
      </w:tr>
      <w:tr w14:paraId="66CE4F8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9F3587C">
            <w:pPr>
              <w:pStyle w:val="24"/>
              <w:jc w:val="left"/>
            </w:pPr>
            <w:r>
              <w:rPr>
                <w:rFonts w:ascii="Times New Roman" w:hAnsi="Times New Roman" w:eastAsia="微软雅黑"/>
                <w:sz w:val="22"/>
              </w:rPr>
              <w:t>Wind/同花顺等</w:t>
            </w:r>
          </w:p>
        </w:tc>
        <w:tc>
          <w:tcPr>
            <w:tcBorders>
              <w:top w:val="single" w:color="E2E8F0" w:sz="6" w:space="0"/>
              <w:left w:val="single" w:color="E2E8F0" w:sz="6" w:space="0"/>
              <w:bottom w:val="single" w:color="E2E8F0" w:sz="6" w:space="0"/>
              <w:right w:val="single" w:color="E2E8F0" w:sz="6" w:space="0"/>
            </w:tcBorders>
            <w:shd w:val="clear" w:color="auto" w:fill="F8FAFC"/>
          </w:tcPr>
          <w:p w14:paraId="207833C1">
            <w:pPr>
              <w:pStyle w:val="24"/>
              <w:jc w:val="left"/>
            </w:pPr>
            <w:r>
              <w:rPr>
                <w:rFonts w:ascii="Times New Roman" w:hAnsi="Times New Roman" w:eastAsia="微软雅黑"/>
                <w:sz w:val="22"/>
              </w:rPr>
              <w:t>上市公司财务数据和行业均值</w:t>
            </w:r>
          </w:p>
        </w:tc>
        <w:tc>
          <w:tcPr>
            <w:tcBorders>
              <w:top w:val="single" w:color="E2E8F0" w:sz="6" w:space="0"/>
              <w:left w:val="single" w:color="E2E8F0" w:sz="6" w:space="0"/>
              <w:bottom w:val="single" w:color="E2E8F0" w:sz="6" w:space="0"/>
              <w:right w:val="single" w:color="E2E8F0" w:sz="6" w:space="0"/>
            </w:tcBorders>
            <w:shd w:val="clear" w:color="auto" w:fill="F8FAFC"/>
          </w:tcPr>
          <w:p w14:paraId="3EFA5140">
            <w:pPr>
              <w:pStyle w:val="24"/>
              <w:jc w:val="left"/>
            </w:pPr>
            <w:r>
              <w:rPr>
                <w:rFonts w:ascii="Times New Roman" w:hAnsi="Times New Roman" w:eastAsia="微软雅黑"/>
                <w:sz w:val="22"/>
              </w:rPr>
              <w:t>多为付费，高校通常有授权</w:t>
            </w:r>
          </w:p>
        </w:tc>
        <w:tc>
          <w:tcPr>
            <w:tcBorders>
              <w:top w:val="single" w:color="E2E8F0" w:sz="6" w:space="0"/>
              <w:left w:val="single" w:color="E2E8F0" w:sz="6" w:space="0"/>
              <w:bottom w:val="single" w:color="E2E8F0" w:sz="6" w:space="0"/>
              <w:right w:val="single" w:color="E2E8F0" w:sz="6" w:space="0"/>
            </w:tcBorders>
            <w:shd w:val="clear" w:color="auto" w:fill="F8FAFC"/>
          </w:tcPr>
          <w:p w14:paraId="1FCD1373">
            <w:pPr>
              <w:pStyle w:val="24"/>
              <w:jc w:val="left"/>
            </w:pPr>
            <w:r>
              <w:rPr>
                <w:rFonts w:ascii="Times New Roman" w:hAnsi="Times New Roman" w:eastAsia="微软雅黑"/>
                <w:sz w:val="22"/>
              </w:rPr>
              <w:t>数据系统完整，适合深度分析</w:t>
            </w:r>
          </w:p>
        </w:tc>
      </w:tr>
      <w:tr w14:paraId="2AA047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BFEBB4F">
            <w:pPr>
              <w:pStyle w:val="24"/>
              <w:jc w:val="left"/>
            </w:pPr>
            <w:r>
              <w:rPr>
                <w:rFonts w:ascii="Times New Roman" w:hAnsi="Times New Roman" w:eastAsia="微软雅黑"/>
                <w:sz w:val="22"/>
              </w:rPr>
              <w:t>AI联网查询</w:t>
            </w:r>
          </w:p>
        </w:tc>
        <w:tc>
          <w:tcPr>
            <w:tcBorders>
              <w:top w:val="single" w:color="E2E8F0" w:sz="6" w:space="0"/>
              <w:left w:val="single" w:color="E2E8F0" w:sz="6" w:space="0"/>
              <w:bottom w:val="single" w:color="E2E8F0" w:sz="6" w:space="0"/>
              <w:right w:val="single" w:color="E2E8F0" w:sz="6" w:space="0"/>
            </w:tcBorders>
          </w:tcPr>
          <w:p w14:paraId="26FADE52">
            <w:pPr>
              <w:pStyle w:val="24"/>
              <w:jc w:val="left"/>
            </w:pPr>
            <w:r>
              <w:rPr>
                <w:rFonts w:ascii="Times New Roman" w:hAnsi="Times New Roman" w:eastAsia="微软雅黑"/>
                <w:sz w:val="22"/>
              </w:rPr>
              <w:t>综合性行业参考值</w:t>
            </w:r>
          </w:p>
        </w:tc>
        <w:tc>
          <w:tcPr>
            <w:tcBorders>
              <w:top w:val="single" w:color="E2E8F0" w:sz="6" w:space="0"/>
              <w:left w:val="single" w:color="E2E8F0" w:sz="6" w:space="0"/>
              <w:bottom w:val="single" w:color="E2E8F0" w:sz="6" w:space="0"/>
              <w:right w:val="single" w:color="E2E8F0" w:sz="6" w:space="0"/>
            </w:tcBorders>
          </w:tcPr>
          <w:p w14:paraId="249FD577">
            <w:pPr>
              <w:pStyle w:val="24"/>
              <w:jc w:val="left"/>
            </w:pPr>
            <w:r>
              <w:rPr>
                <w:rFonts w:ascii="Times New Roman" w:hAnsi="Times New Roman" w:eastAsia="微软雅黑"/>
                <w:sz w:val="22"/>
              </w:rPr>
              <w:t>Kimi等联网AI辅助</w:t>
            </w:r>
          </w:p>
        </w:tc>
        <w:tc>
          <w:tcPr>
            <w:tcBorders>
              <w:top w:val="single" w:color="E2E8F0" w:sz="6" w:space="0"/>
              <w:left w:val="single" w:color="E2E8F0" w:sz="6" w:space="0"/>
              <w:bottom w:val="single" w:color="E2E8F0" w:sz="6" w:space="0"/>
              <w:right w:val="single" w:color="E2E8F0" w:sz="6" w:space="0"/>
            </w:tcBorders>
          </w:tcPr>
          <w:p w14:paraId="62597F1E">
            <w:pPr>
              <w:pStyle w:val="24"/>
              <w:jc w:val="left"/>
            </w:pPr>
            <w:r>
              <w:rPr>
                <w:rFonts w:ascii="Times New Roman" w:hAnsi="Times New Roman" w:eastAsia="微软雅黑"/>
                <w:sz w:val="22"/>
              </w:rPr>
              <w:t>需核实来源，不可直接引用</w:t>
            </w:r>
          </w:p>
        </w:tc>
      </w:tr>
      <w:bookmarkEnd w:id="20"/>
    </w:tbl>
    <w:p w14:paraId="7775A4A5">
      <w:pPr>
        <w:pStyle w:val="5"/>
      </w:pPr>
      <w:bookmarkStart w:id="21" w:name="用ai辅助解读比率"/>
      <w:r>
        <w:rPr>
          <w:rFonts w:ascii="Times New Roman" w:hAnsi="Times New Roman" w:eastAsia="微软雅黑"/>
          <w:sz w:val="24"/>
        </w:rPr>
        <w:t>3. 用AI辅助解读比率</w:t>
      </w:r>
    </w:p>
    <w:p w14:paraId="140943A4">
      <w:pPr>
        <w:pStyle w:val="23"/>
      </w:pPr>
      <w:r>
        <w:rPr>
          <w:rFonts w:ascii="Times New Roman" w:hAnsi="Times New Roman" w:eastAsia="微软雅黑"/>
          <w:sz w:val="24"/>
        </w:rPr>
        <w:t>拿到计算结果后，可以把指标数据提供给AI，让它结合行业参考范围给出初步解读。这个场景下AI能做得相当好，因为解读比率是有规律可循的逻辑推理，而不是需要业务直觉的复杂判断。</w:t>
      </w:r>
    </w:p>
    <w:p w14:paraId="6EE0B7D9">
      <w:pPr>
        <w:pStyle w:val="3"/>
      </w:pPr>
      <w:r>
        <w:rPr>
          <w:rFonts w:ascii="Times New Roman" w:hAnsi="Times New Roman" w:eastAsia="微软雅黑"/>
          <w:sz w:val="24"/>
        </w:rPr>
        <w:t>提示词示例：</w:t>
      </w:r>
    </w:p>
    <w:p w14:paraId="7D3E7C36">
      <w:pPr>
        <w:pStyle w:val="13"/>
      </w:pPr>
      <w:r>
        <w:rPr>
          <w:rFonts w:ascii="Times New Roman" w:hAnsi="Times New Roman" w:eastAsia="微软雅黑"/>
          <w:sz w:val="24"/>
        </w:rPr>
        <w:t>“以下是一家餐饮连锁企业的财务比率指标，请结合餐饮行业的一般水平，对每个指标给出简短的评价（正常/偏高/偏低/需关注），并说明理由：</w:t>
      </w:r>
    </w:p>
    <w:p w14:paraId="65EA938A">
      <w:pPr>
        <w:pStyle w:val="24"/>
        <w:numPr>
          <w:ilvl w:val="0"/>
          <w:numId w:val="1"/>
        </w:numPr>
      </w:pPr>
      <w:r>
        <w:rPr>
          <w:rFonts w:ascii="Times New Roman" w:hAnsi="Times New Roman" w:eastAsia="微软雅黑"/>
          <w:sz w:val="24"/>
        </w:rPr>
        <w:t>流动比率：1.2</w:t>
      </w:r>
    </w:p>
    <w:p w14:paraId="2A707E8B">
      <w:pPr>
        <w:pStyle w:val="24"/>
        <w:numPr>
          <w:ilvl w:val="0"/>
          <w:numId w:val="1"/>
        </w:numPr>
      </w:pPr>
      <w:r>
        <w:rPr>
          <w:rFonts w:ascii="Times New Roman" w:hAnsi="Times New Roman" w:eastAsia="微软雅黑"/>
          <w:sz w:val="24"/>
        </w:rPr>
        <w:t>速动比率：0.7</w:t>
      </w:r>
    </w:p>
    <w:p w14:paraId="3571FBAB">
      <w:pPr>
        <w:pStyle w:val="24"/>
        <w:numPr>
          <w:ilvl w:val="0"/>
          <w:numId w:val="1"/>
        </w:numPr>
      </w:pPr>
      <w:r>
        <w:rPr>
          <w:rFonts w:ascii="Times New Roman" w:hAnsi="Times New Roman" w:eastAsia="微软雅黑"/>
          <w:sz w:val="24"/>
        </w:rPr>
        <w:t>资产负债率：58%</w:t>
      </w:r>
    </w:p>
    <w:p w14:paraId="1BE1A870">
      <w:pPr>
        <w:pStyle w:val="24"/>
        <w:numPr>
          <w:ilvl w:val="0"/>
          <w:numId w:val="1"/>
        </w:numPr>
      </w:pPr>
      <w:r>
        <w:rPr>
          <w:rFonts w:ascii="Times New Roman" w:hAnsi="Times New Roman" w:eastAsia="微软雅黑"/>
          <w:sz w:val="24"/>
        </w:rPr>
        <w:t>利息保障倍数：4.2</w:t>
      </w:r>
    </w:p>
    <w:p w14:paraId="5A2C937C">
      <w:pPr>
        <w:pStyle w:val="13"/>
      </w:pPr>
      <w:r>
        <w:rPr>
          <w:rFonts w:ascii="Times New Roman" w:hAnsi="Times New Roman" w:eastAsia="微软雅黑"/>
          <w:sz w:val="24"/>
        </w:rPr>
        <w:t>请以表格形式输出，每个指标一行，包含：指标名称/指标值/餐饮行业参考范围/评价/简要说明。”</w:t>
      </w:r>
    </w:p>
    <w:p w14:paraId="55234967">
      <w:pPr>
        <w:pStyle w:val="23"/>
      </w:pPr>
      <w:r>
        <w:rPr>
          <w:rFonts w:ascii="Times New Roman" w:hAnsi="Times New Roman" w:eastAsia="微软雅黑"/>
          <w:sz w:val="24"/>
        </w:rPr>
        <w:t>AI的回答可以作为分析的起点，但最终结论必须结合该企业的具体情况和历史趋势来判断，不能把AI的解读直接当成结论发出去。</w:t>
      </w:r>
    </w:p>
    <w:p w14:paraId="040B8374">
      <w:r>
        <w:pict>
          <v:rect id="_x0000_i1035" o:spt="1" style="height:1.5pt;width:0pt;" coordsize="21600,21600" o:hr="t" o:hrstd="t" o:hralign="center">
            <v:path/>
            <v:fill focussize="0,0"/>
            <v:stroke/>
            <v:imagedata o:title=""/>
            <o:lock v:ext="edit"/>
            <w10:wrap type="none"/>
            <w10:anchorlock/>
          </v:rect>
        </w:pict>
      </w:r>
    </w:p>
    <w:bookmarkEnd w:id="9"/>
    <w:bookmarkEnd w:id="18"/>
    <w:bookmarkEnd w:id="21"/>
    <w:p>
      <w:pPr>
        <w:pStyle w:val="4"/>
      </w:pPr>
      <w:r>
        <w:rPr>
          <w:rFonts w:ascii="Times New Roman" w:hAnsi="Times New Roman" w:eastAsia="微软雅黑"/>
          <w:sz w:val="24"/>
        </w:rPr>
        <w:t xml:space="preserve">【小试牛刀】为两家餐饮企业排查短期与长期偿债风险</w:t>
      </w:r>
    </w:p>
    <w:p>
      <w:pPr>
        <w:pStyle w:val="3"/>
      </w:pPr>
      <w:r>
        <w:rPr>
          <w:rFonts w:ascii="Times New Roman" w:hAnsi="Times New Roman" w:eastAsia="微软雅黑"/>
          <w:sz w:val="24"/>
        </w:rPr>
        <w:t xml:space="preserve">（1）先不借助AI，根据表7-2和表7-5的数据，列出计算短期三指标（流动比率、速动比率、现金比率）和长期三指标（资产负债率、产权比率、利息保障倍数）的公式与分子分母数值。</w:t>
      </w:r>
    </w:p>
    <w:p>
      <w:pPr>
        <w:pStyle w:val="3"/>
      </w:pPr>
      <w:r>
        <w:rPr>
          <w:rFonts w:ascii="Times New Roman" w:hAnsi="Times New Roman" w:eastAsia="微软雅黑"/>
          <w:sz w:val="24"/>
        </w:rPr>
        <w:t xml:space="preserve">（2）在Excel中建立计算模型，算出两家企业的各项比率，对照表7-7的餐饮行业参考区间（流动比率0.8—1.5，资产负债率40%—65%），分别标记“正常”或“需关注”。</w:t>
      </w:r>
    </w:p>
    <w:p>
      <w:pPr>
        <w:pStyle w:val="3"/>
      </w:pPr>
      <w:r>
        <w:rPr>
          <w:rFonts w:ascii="Times New Roman" w:hAnsi="Times New Roman" w:eastAsia="微软雅黑"/>
          <w:sz w:val="24"/>
        </w:rPr>
        <w:t xml:space="preserve">（3）针对B公司现金比率仅0.08、利息保障倍数2.9的现状，写一段100字以内的信贷风险预警提示，指出其最大潜在风险点。</w:t>
      </w:r>
    </w:p>
    <w:p>
      <w:pPr>
        <w:pStyle w:val="3"/>
      </w:pPr>
      <w:r>
        <w:rPr>
          <w:rFonts w:ascii="Times New Roman" w:hAnsi="Times New Roman" w:eastAsia="微软雅黑"/>
          <w:sz w:val="24"/>
        </w:rPr>
        <w:t xml:space="preserve">（4）让AI根据相同数据写一段偿债能力评价，对比AI评价与你手写的预警提示，找出AI遗漏或误判的业务细节（至少1处）。</w:t>
      </w:r>
    </w:p>
    <w:p w14:paraId="119DDA00">
      <w:pPr>
        <w:pStyle w:val="4"/>
      </w:pPr>
      <w:bookmarkStart w:id="22" w:name="善学勤思"/>
      <w:r>
        <w:rPr>
          <w:rFonts w:ascii="Times New Roman" w:hAnsi="Times New Roman" w:eastAsia="微软雅黑"/>
          <w:sz w:val="24"/>
        </w:rPr>
        <w:t>【善学勤思】</w:t>
      </w:r>
    </w:p>
    <w:p w14:paraId="2A51CF17">
      <w:pPr>
        <w:pStyle w:val="24"/>
        <w:numPr>
          <w:ilvl w:val="0"/>
          <w:numId w:val="3"/>
        </w:numPr>
      </w:pPr>
      <w:r>
        <w:rPr>
          <w:rFonts w:ascii="Times New Roman" w:hAnsi="Times New Roman" w:eastAsia="微软雅黑"/>
          <w:sz w:val="24"/>
        </w:rPr>
        <w:t>表7-3显示B公司现金比率只有0.08，但B公司的净利润却更高。你认为在评估不同业务风险时，应该优先看哪类指标？这说明什么？</w:t>
      </w:r>
    </w:p>
    <w:p w14:paraId="0C2A6299">
      <w:pPr>
        <w:pStyle w:val="24"/>
        <w:numPr>
          <w:ilvl w:val="0"/>
          <w:numId w:val="3"/>
        </w:numPr>
      </w:pPr>
      <w:r>
        <w:rPr>
          <w:rFonts w:ascii="Times New Roman" w:hAnsi="Times New Roman" w:eastAsia="微软雅黑"/>
          <w:sz w:val="24"/>
        </w:rPr>
        <w:t>资产负债率越低一定越好吗？从股东角度和债权人角度分别回答这个问题，会得出不同的结论吗？</w:t>
      </w:r>
    </w:p>
    <w:p w14:paraId="61B4E87A">
      <w:pPr>
        <w:pStyle w:val="24"/>
        <w:numPr>
          <w:ilvl w:val="0"/>
          <w:numId w:val="3"/>
        </w:numPr>
      </w:pPr>
      <w:r>
        <w:rPr>
          <w:rFonts w:ascii="Times New Roman" w:hAnsi="Times New Roman" w:eastAsia="微软雅黑"/>
          <w:sz w:val="24"/>
        </w:rPr>
        <w:t>表7-7列出的行业参考范围，是否意味着达到这个范围的企业就是“健康的”？一家处于参考范围内的企业，财务分析还有必要做吗？</w:t>
      </w:r>
    </w:p>
    <w:p w14:paraId="3431BF4E">
      <w:r>
        <w:pict>
          <v:rect id="_x0000_i1036" o:spt="1" style="height:1.5pt;width:0pt;" coordsize="21600,21600" o:hr="t" o:hrstd="t" o:hralign="center">
            <v:path/>
            <v:fill focussize="0,0"/>
            <v:stroke/>
            <v:imagedata o:title=""/>
            <o:lock v:ext="edit"/>
            <w10:wrap type="none"/>
            <w10:anchorlock/>
          </v:rect>
        </w:pict>
      </w:r>
    </w:p>
    <w:bookmarkEnd w:id="22"/>
    <w:p w14:paraId="61743CC6">
      <w:pPr>
        <w:pStyle w:val="2"/>
      </w:pPr>
      <w:bookmarkStart w:id="23" w:name="任务7.2-分析营运能力与盈利能力"/>
      <w:r>
        <w:rPr>
          <w:rFonts w:ascii="Times New Roman" w:hAnsi="Times New Roman" w:eastAsia="微软雅黑"/>
          <w:sz w:val="24"/>
        </w:rPr>
        <w:t>任务7.2 分析营运能力与盈利能力</w:t>
      </w:r>
    </w:p>
    <w:p w14:paraId="25F8216B">
      <w:pPr>
        <w:pStyle w:val="4"/>
      </w:pPr>
      <w:bookmarkStart w:id="24" w:name="应收账款与存货周转分析"/>
      <w:r>
        <w:rPr>
          <w:rFonts w:ascii="Times New Roman" w:hAnsi="Times New Roman" w:eastAsia="微软雅黑"/>
          <w:sz w:val="24"/>
        </w:rPr>
        <w:t>7.2.1 应收账款与存货周转分析</w:t>
      </w:r>
    </w:p>
    <w:p w14:paraId="55FF0BD3">
      <w:pPr>
        <w:pStyle w:val="5"/>
      </w:pPr>
      <w:bookmarkStart w:id="25" w:name="营运能力指标衡量什么"/>
      <w:r>
        <w:rPr>
          <w:rFonts w:ascii="Times New Roman" w:hAnsi="Times New Roman" w:eastAsia="微软雅黑"/>
          <w:sz w:val="24"/>
        </w:rPr>
        <w:t>1. 营运能力指标衡量什么</w:t>
      </w:r>
    </w:p>
    <w:p w14:paraId="25F0C0C5">
      <w:pPr>
        <w:pStyle w:val="23"/>
      </w:pPr>
      <w:r>
        <w:rPr>
          <w:rFonts w:ascii="Times New Roman" w:hAnsi="Times New Roman" w:eastAsia="微软雅黑"/>
          <w:sz w:val="24"/>
        </w:rPr>
        <w:t>如果说偿债能力指标反映的是企业的“安全性”，那么营运能力指标反映的是企业的“效率”——同样规模的资产，有的企业能产生更多的收入，有的企业资金大量沉淀在应收账款和存货里。</w:t>
      </w:r>
    </w:p>
    <w:p w14:paraId="6E56D536">
      <w:pPr>
        <w:pStyle w:val="3"/>
      </w:pPr>
      <w:r>
        <w:rPr>
          <w:rFonts w:ascii="Times New Roman" w:hAnsi="Times New Roman" w:eastAsia="微软雅黑"/>
          <w:sz w:val="24"/>
        </w:rPr>
        <w:t>营运能力的核心问题是：</w:t>
      </w:r>
      <w:r>
        <w:rPr>
          <w:rFonts w:ascii="Times New Roman" w:hAnsi="Times New Roman" w:eastAsia="微软雅黑"/>
          <w:b/>
          <w:bCs/>
          <w:sz w:val="24"/>
        </w:rPr>
        <w:t>企业的资金流转有多快？</w:t>
      </w:r>
    </w:p>
    <w:p w14:paraId="5A8DC13F">
      <w:pPr>
        <w:pStyle w:val="3"/>
      </w:pPr>
      <w:r>
        <w:rPr>
          <w:rFonts w:ascii="Times New Roman" w:hAnsi="Times New Roman" w:eastAsia="微软雅黑"/>
          <w:sz w:val="24"/>
        </w:rPr>
        <w:t>流转越快，说明单位资产创造的收入越多，资金使用效率越高；流转越慢，说明资金大量沉淀，企业的运营成本（如融资利息、仓储费用）相应更高。</w:t>
      </w:r>
    </w:p>
    <w:bookmarkEnd w:id="25"/>
    <w:p w14:paraId="0EB6E143">
      <w:pPr>
        <w:pStyle w:val="5"/>
      </w:pPr>
      <w:bookmarkStart w:id="26" w:name="应收账款周转分析"/>
      <w:r>
        <w:rPr>
          <w:rFonts w:ascii="Times New Roman" w:hAnsi="Times New Roman" w:eastAsia="微软雅黑"/>
          <w:sz w:val="24"/>
        </w:rPr>
        <w:t>2. 应收账款周转分析</w:t>
      </w:r>
    </w:p>
    <w:p w14:paraId="0EEC17E8">
      <w:pPr>
        <w:pStyle w:val="23"/>
      </w:pPr>
      <w:r>
        <w:rPr>
          <w:rFonts w:ascii="Times New Roman" w:hAnsi="Times New Roman" w:eastAsia="微软雅黑"/>
          <w:sz w:val="24"/>
        </w:rPr>
        <w:t>应收账款周转率 = 营业收入 / 应收账款平均余额</w:t>
      </w:r>
    </w:p>
    <w:p w14:paraId="307EF6D8">
      <w:pPr>
        <w:pStyle w:val="3"/>
      </w:pPr>
      <w:r>
        <w:rPr>
          <w:rFonts w:ascii="Times New Roman" w:hAnsi="Times New Roman" w:eastAsia="微软雅黑"/>
          <w:sz w:val="24"/>
        </w:rPr>
        <w:t>应收账款周转天数 = 365 / 应收账款周转率</w:t>
      </w:r>
    </w:p>
    <w:p w14:paraId="045D28DE">
      <w:pPr>
        <w:pStyle w:val="3"/>
      </w:pPr>
      <w:r>
        <w:rPr>
          <w:rFonts w:ascii="Times New Roman" w:hAnsi="Times New Roman" w:eastAsia="微软雅黑"/>
          <w:sz w:val="24"/>
        </w:rPr>
        <w:t>其中，应收账款平均余额 = （期初应收账款 + 期末应收账款）/ 2</w:t>
      </w:r>
    </w:p>
    <w:p w14:paraId="0A6BCF56">
      <w:pPr>
        <w:pStyle w:val="3"/>
      </w:pPr>
      <w:r>
        <w:rPr>
          <w:rFonts w:ascii="Times New Roman" w:hAnsi="Times New Roman" w:eastAsia="微软雅黑"/>
          <w:sz w:val="24"/>
        </w:rPr>
        <w:t>应收账款周转天数代表从形成应收账款到收回现金平均需要多少天，这个数字越小越好。如果一家企业的应收账款周转天数持续拉长，通常意味着以下三种情况之一：客户付款速度变慢、账期政策被放宽、或者存在一些难以回收的坏账在积累。</w:t>
      </w:r>
    </w:p>
    <w:p w14:paraId="40BAF1C3">
      <w:pPr>
        <w:pStyle w:val="3"/>
      </w:pPr>
      <w:r>
        <w:rPr>
          <w:rFonts w:ascii="Times New Roman" w:hAnsi="Times New Roman" w:eastAsia="微软雅黑"/>
          <w:sz w:val="24"/>
        </w:rPr>
        <w:t>以情景导入中的两家企业为例，假设年度营业收入和应收账款数据如下，见表7-9。</w:t>
      </w:r>
    </w:p>
    <w:p w14:paraId="1EAD1C3F">
      <w:pPr>
        <w:jc w:val="center"/>
        <w:pStyle w:val="3"/>
      </w:pPr>
      <w:r>
        <w:rPr>
          <w:rFonts w:ascii="Times New Roman" w:hAnsi="Times New Roman" w:eastAsia="微软雅黑"/>
          <w:b/>
          <w:bCs/>
          <w:sz w:val="24"/>
        </w:rPr>
        <w:t>表7-9 A公司与B公司应收账款周转计算数据（万元）</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976"/>
        <w:gridCol w:w="862"/>
        <w:gridCol w:w="850"/>
      </w:tblGrid>
      <w:tr w14:paraId="197CE61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5B954CC">
            <w:pPr>
              <w:pStyle w:val="24"/>
              <w:jc w:val="left"/>
            </w:pPr>
            <w:r>
              <w:rPr>
                <w:rFonts w:ascii="Times New Roman" w:hAnsi="Times New Roman" w:eastAsia="微软雅黑"/>
                <w:b/>
                <w:color w:val="1E3A8A"/>
                <w:sz w:val="22"/>
              </w:rPr>
              <w:t>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6D5BAA59">
            <w:pPr>
              <w:pStyle w:val="24"/>
              <w:jc w:val="left"/>
            </w:pPr>
            <w:r>
              <w:rPr>
                <w:rFonts w:ascii="Times New Roman" w:hAnsi="Times New Roman" w:eastAsia="微软雅黑"/>
                <w:b/>
                <w:color w:val="1E3A8A"/>
                <w:sz w:val="22"/>
              </w:rPr>
              <w:t>A公司</w:t>
            </w:r>
          </w:p>
        </w:tc>
        <w:tc>
          <w:tcPr>
            <w:tcBorders>
              <w:top w:val="single" w:color="E2E8F0" w:sz="6" w:space="0"/>
              <w:left w:val="single" w:color="E2E8F0" w:sz="6" w:space="0"/>
              <w:bottom w:val="single" w:color="E2E8F0" w:sz="6" w:space="0"/>
              <w:right w:val="single" w:color="E2E8F0" w:sz="6" w:space="0"/>
            </w:tcBorders>
            <w:shd w:val="clear" w:color="auto" w:fill="EEF4FF"/>
          </w:tcPr>
          <w:p w14:paraId="56648E82">
            <w:pPr>
              <w:pStyle w:val="24"/>
              <w:jc w:val="left"/>
            </w:pPr>
            <w:r>
              <w:rPr>
                <w:rFonts w:ascii="Times New Roman" w:hAnsi="Times New Roman" w:eastAsia="微软雅黑"/>
                <w:b/>
                <w:color w:val="1E3A8A"/>
                <w:sz w:val="22"/>
              </w:rPr>
              <w:t>B公司</w:t>
            </w:r>
          </w:p>
        </w:tc>
      </w:tr>
      <w:tr w14:paraId="4DCED6D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E0E4510">
            <w:pPr>
              <w:pStyle w:val="24"/>
              <w:jc w:val="left"/>
            </w:pPr>
            <w:r>
              <w:rPr>
                <w:rFonts w:ascii="Times New Roman" w:hAnsi="Times New Roman" w:eastAsia="微软雅黑"/>
                <w:sz w:val="22"/>
              </w:rPr>
              <w:t>年度营业收入</w:t>
            </w:r>
          </w:p>
        </w:tc>
        <w:tc>
          <w:tcPr>
            <w:tcBorders>
              <w:top w:val="single" w:color="E2E8F0" w:sz="6" w:space="0"/>
              <w:left w:val="single" w:color="E2E8F0" w:sz="6" w:space="0"/>
              <w:bottom w:val="single" w:color="E2E8F0" w:sz="6" w:space="0"/>
              <w:right w:val="single" w:color="E2E8F0" w:sz="6" w:space="0"/>
            </w:tcBorders>
          </w:tcPr>
          <w:p w14:paraId="5C25B458">
            <w:pPr>
              <w:pStyle w:val="24"/>
              <w:jc w:val="left"/>
            </w:pPr>
            <w:r>
              <w:rPr>
                <w:rFonts w:ascii="Times New Roman" w:hAnsi="Times New Roman" w:eastAsia="微软雅黑"/>
                <w:sz w:val="22"/>
              </w:rPr>
              <w:t>2860</w:t>
            </w:r>
          </w:p>
        </w:tc>
        <w:tc>
          <w:tcPr>
            <w:tcBorders>
              <w:top w:val="single" w:color="E2E8F0" w:sz="6" w:space="0"/>
              <w:left w:val="single" w:color="E2E8F0" w:sz="6" w:space="0"/>
              <w:bottom w:val="single" w:color="E2E8F0" w:sz="6" w:space="0"/>
              <w:right w:val="single" w:color="E2E8F0" w:sz="6" w:space="0"/>
            </w:tcBorders>
          </w:tcPr>
          <w:p w14:paraId="0BE4C354">
            <w:pPr>
              <w:pStyle w:val="24"/>
              <w:jc w:val="left"/>
            </w:pPr>
            <w:r>
              <w:rPr>
                <w:rFonts w:ascii="Times New Roman" w:hAnsi="Times New Roman" w:eastAsia="微软雅黑"/>
                <w:sz w:val="22"/>
              </w:rPr>
              <w:t>3420</w:t>
            </w:r>
          </w:p>
        </w:tc>
      </w:tr>
      <w:tr w14:paraId="6245155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9595231">
            <w:pPr>
              <w:pStyle w:val="24"/>
              <w:jc w:val="left"/>
            </w:pPr>
            <w:r>
              <w:rPr>
                <w:rFonts w:ascii="Times New Roman" w:hAnsi="Times New Roman" w:eastAsia="微软雅黑"/>
                <w:sz w:val="22"/>
              </w:rPr>
              <w:t>期初应收账款</w:t>
            </w:r>
          </w:p>
        </w:tc>
        <w:tc>
          <w:tcPr>
            <w:tcBorders>
              <w:top w:val="single" w:color="E2E8F0" w:sz="6" w:space="0"/>
              <w:left w:val="single" w:color="E2E8F0" w:sz="6" w:space="0"/>
              <w:bottom w:val="single" w:color="E2E8F0" w:sz="6" w:space="0"/>
              <w:right w:val="single" w:color="E2E8F0" w:sz="6" w:space="0"/>
            </w:tcBorders>
            <w:shd w:val="clear" w:color="auto" w:fill="F8FAFC"/>
          </w:tcPr>
          <w:p w14:paraId="63868718">
            <w:pPr>
              <w:pStyle w:val="24"/>
              <w:jc w:val="left"/>
            </w:pPr>
            <w:r>
              <w:rPr>
                <w:rFonts w:ascii="Times New Roman" w:hAnsi="Times New Roman" w:eastAsia="微软雅黑"/>
                <w:sz w:val="22"/>
              </w:rPr>
              <w:t>195</w:t>
            </w:r>
          </w:p>
        </w:tc>
        <w:tc>
          <w:tcPr>
            <w:tcBorders>
              <w:top w:val="single" w:color="E2E8F0" w:sz="6" w:space="0"/>
              <w:left w:val="single" w:color="E2E8F0" w:sz="6" w:space="0"/>
              <w:bottom w:val="single" w:color="E2E8F0" w:sz="6" w:space="0"/>
              <w:right w:val="single" w:color="E2E8F0" w:sz="6" w:space="0"/>
            </w:tcBorders>
            <w:shd w:val="clear" w:color="auto" w:fill="F8FAFC"/>
          </w:tcPr>
          <w:p w14:paraId="05A2B3D6">
            <w:pPr>
              <w:pStyle w:val="24"/>
              <w:jc w:val="left"/>
            </w:pPr>
            <w:r>
              <w:rPr>
                <w:rFonts w:ascii="Times New Roman" w:hAnsi="Times New Roman" w:eastAsia="微软雅黑"/>
                <w:sz w:val="22"/>
              </w:rPr>
              <w:t>390</w:t>
            </w:r>
          </w:p>
        </w:tc>
      </w:tr>
      <w:tr w14:paraId="5C56E54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EE51BE8">
            <w:pPr>
              <w:pStyle w:val="24"/>
              <w:jc w:val="left"/>
            </w:pPr>
            <w:r>
              <w:rPr>
                <w:rFonts w:ascii="Times New Roman" w:hAnsi="Times New Roman" w:eastAsia="微软雅黑"/>
                <w:sz w:val="22"/>
              </w:rPr>
              <w:t>期末应收账款</w:t>
            </w:r>
          </w:p>
        </w:tc>
        <w:tc>
          <w:tcPr>
            <w:tcBorders>
              <w:top w:val="single" w:color="E2E8F0" w:sz="6" w:space="0"/>
              <w:left w:val="single" w:color="E2E8F0" w:sz="6" w:space="0"/>
              <w:bottom w:val="single" w:color="E2E8F0" w:sz="6" w:space="0"/>
              <w:right w:val="single" w:color="E2E8F0" w:sz="6" w:space="0"/>
            </w:tcBorders>
          </w:tcPr>
          <w:p w14:paraId="298417F1">
            <w:pPr>
              <w:pStyle w:val="24"/>
              <w:jc w:val="left"/>
            </w:pPr>
            <w:r>
              <w:rPr>
                <w:rFonts w:ascii="Times New Roman" w:hAnsi="Times New Roman" w:eastAsia="微软雅黑"/>
                <w:sz w:val="22"/>
              </w:rPr>
              <w:t>210</w:t>
            </w:r>
          </w:p>
        </w:tc>
        <w:tc>
          <w:tcPr>
            <w:tcBorders>
              <w:top w:val="single" w:color="E2E8F0" w:sz="6" w:space="0"/>
              <w:left w:val="single" w:color="E2E8F0" w:sz="6" w:space="0"/>
              <w:bottom w:val="single" w:color="E2E8F0" w:sz="6" w:space="0"/>
              <w:right w:val="single" w:color="E2E8F0" w:sz="6" w:space="0"/>
            </w:tcBorders>
          </w:tcPr>
          <w:p w14:paraId="42F12902">
            <w:pPr>
              <w:pStyle w:val="24"/>
              <w:jc w:val="left"/>
            </w:pPr>
            <w:r>
              <w:rPr>
                <w:rFonts w:ascii="Times New Roman" w:hAnsi="Times New Roman" w:eastAsia="微软雅黑"/>
                <w:sz w:val="22"/>
              </w:rPr>
              <w:t>420</w:t>
            </w:r>
          </w:p>
        </w:tc>
      </w:tr>
      <w:tr w14:paraId="510981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C27DD99">
            <w:pPr>
              <w:pStyle w:val="24"/>
              <w:jc w:val="left"/>
            </w:pPr>
            <w:r>
              <w:rPr>
                <w:rFonts w:ascii="Times New Roman" w:hAnsi="Times New Roman" w:eastAsia="微软雅黑"/>
                <w:sz w:val="22"/>
              </w:rPr>
              <w:t>应收账款平均余额</w:t>
            </w:r>
          </w:p>
        </w:tc>
        <w:tc>
          <w:tcPr>
            <w:tcBorders>
              <w:top w:val="single" w:color="E2E8F0" w:sz="6" w:space="0"/>
              <w:left w:val="single" w:color="E2E8F0" w:sz="6" w:space="0"/>
              <w:bottom w:val="single" w:color="E2E8F0" w:sz="6" w:space="0"/>
              <w:right w:val="single" w:color="E2E8F0" w:sz="6" w:space="0"/>
            </w:tcBorders>
            <w:shd w:val="clear" w:color="auto" w:fill="F8FAFC"/>
          </w:tcPr>
          <w:p w14:paraId="4F19F898">
            <w:pPr>
              <w:pStyle w:val="24"/>
              <w:jc w:val="left"/>
            </w:pPr>
            <w:r>
              <w:rPr>
                <w:rFonts w:ascii="Times New Roman" w:hAnsi="Times New Roman" w:eastAsia="微软雅黑"/>
                <w:sz w:val="22"/>
              </w:rPr>
              <w:t>202.5</w:t>
            </w:r>
          </w:p>
        </w:tc>
        <w:tc>
          <w:tcPr>
            <w:tcBorders>
              <w:top w:val="single" w:color="E2E8F0" w:sz="6" w:space="0"/>
              <w:left w:val="single" w:color="E2E8F0" w:sz="6" w:space="0"/>
              <w:bottom w:val="single" w:color="E2E8F0" w:sz="6" w:space="0"/>
              <w:right w:val="single" w:color="E2E8F0" w:sz="6" w:space="0"/>
            </w:tcBorders>
            <w:shd w:val="clear" w:color="auto" w:fill="F8FAFC"/>
          </w:tcPr>
          <w:p w14:paraId="233EACDB">
            <w:pPr>
              <w:pStyle w:val="24"/>
              <w:jc w:val="left"/>
            </w:pPr>
            <w:r>
              <w:rPr>
                <w:rFonts w:ascii="Times New Roman" w:hAnsi="Times New Roman" w:eastAsia="微软雅黑"/>
                <w:sz w:val="22"/>
              </w:rPr>
              <w:t>405.0</w:t>
            </w:r>
          </w:p>
        </w:tc>
      </w:tr>
    </w:tbl>
    <w:p w14:paraId="15EDD440">
      <w:pPr>
        <w:pStyle w:val="3"/>
      </w:pPr>
      <w:r>
        <w:rPr>
          <w:rFonts w:ascii="Times New Roman" w:hAnsi="Times New Roman" w:eastAsia="微软雅黑"/>
          <w:sz w:val="24"/>
        </w:rPr>
        <w:t>应收账款周转率：A公司 = 2860/202.5 = 14.1次；B公司 = 3420/405.0 = 8.4次</w:t>
      </w:r>
    </w:p>
    <w:p w14:paraId="2E71278E">
      <w:pPr>
        <w:pStyle w:val="3"/>
      </w:pPr>
      <w:r>
        <w:rPr>
          <w:rFonts w:ascii="Times New Roman" w:hAnsi="Times New Roman" w:eastAsia="微软雅黑"/>
          <w:sz w:val="24"/>
        </w:rPr>
        <w:t>应收账款周转天数：A公司 = 365/14.1 = 26天；B公司 = 365/8.4 = 43天</w:t>
      </w:r>
    </w:p>
    <w:p w14:paraId="7641507B">
      <w:pPr>
        <w:pStyle w:val="3"/>
      </w:pPr>
      <w:r>
        <w:rPr>
          <w:rFonts w:ascii="Times New Roman" w:hAnsi="Times New Roman" w:eastAsia="微软雅黑"/>
          <w:sz w:val="24"/>
        </w:rPr>
        <w:t>从这组数据看，A公司平均26天就能回收一笔应收账款，B公司需要43天。如果两家公司处于同一行业，B公司的资金回收效率明显偏低，意味着它有更多资金沉淀在账款里，融资需求也相应更高。</w:t>
      </w:r>
    </w:p>
    <w:bookmarkEnd w:id="26"/>
    <w:p w14:paraId="1EA97F91">
      <w:pPr>
        <w:pStyle w:val="5"/>
      </w:pPr>
      <w:bookmarkStart w:id="27" w:name="存货周转分析"/>
      <w:r>
        <w:rPr>
          <w:rFonts w:ascii="Times New Roman" w:hAnsi="Times New Roman" w:eastAsia="微软雅黑"/>
          <w:sz w:val="24"/>
        </w:rPr>
        <w:t>3. 存货周转分析</w:t>
      </w:r>
    </w:p>
    <w:p w14:paraId="723A6B33">
      <w:pPr>
        <w:pStyle w:val="23"/>
      </w:pPr>
      <w:r>
        <w:rPr>
          <w:rFonts w:ascii="Times New Roman" w:hAnsi="Times New Roman" w:eastAsia="微软雅黑"/>
          <w:sz w:val="24"/>
        </w:rPr>
        <w:t>存货周转率 = 营业成本 / 存货平均余额</w:t>
      </w:r>
    </w:p>
    <w:p w14:paraId="3A8FA8B1">
      <w:pPr>
        <w:pStyle w:val="3"/>
      </w:pPr>
      <w:r>
        <w:rPr>
          <w:rFonts w:ascii="Times New Roman" w:hAnsi="Times New Roman" w:eastAsia="微软雅黑"/>
          <w:sz w:val="24"/>
        </w:rPr>
        <w:t>存货周转天数 = 365 / 存货周转率</w:t>
      </w:r>
    </w:p>
    <w:p w14:paraId="0DBF7849">
      <w:pPr>
        <w:pStyle w:val="3"/>
      </w:pPr>
      <w:r>
        <w:rPr>
          <w:rFonts w:ascii="Times New Roman" w:hAnsi="Times New Roman" w:eastAsia="微软雅黑"/>
          <w:sz w:val="24"/>
        </w:rPr>
        <w:t>注意这里用的是</w:t>
      </w:r>
      <w:r>
        <w:rPr>
          <w:rFonts w:ascii="Times New Roman" w:hAnsi="Times New Roman" w:eastAsia="微软雅黑"/>
          <w:b/>
          <w:bCs/>
          <w:sz w:val="24"/>
        </w:rPr>
        <w:t>营业成本</w:t>
      </w:r>
      <w:r>
        <w:rPr>
          <w:rFonts w:ascii="Times New Roman" w:hAnsi="Times New Roman" w:eastAsia="微软雅黑"/>
          <w:sz w:val="24"/>
        </w:rPr>
        <w:t>，不是营业收入——因为存货是以成本计量的，用成本与存货对比才有口径上的一致性。</w:t>
      </w:r>
    </w:p>
    <w:p w14:paraId="0340FC91">
      <w:pPr>
        <w:pStyle w:val="3"/>
      </w:pPr>
      <w:r>
        <w:rPr>
          <w:rFonts w:ascii="Times New Roman" w:hAnsi="Times New Roman" w:eastAsia="微软雅黑"/>
          <w:sz w:val="24"/>
        </w:rPr>
        <w:t>存货周转天数代表存货从入库到销售出去平均需要多少天。这个指标对制造业和零售业尤其重要——存货周转太慢，一方面占用大量资金，另一方面对于食品、服装等有时效性的商品，还面临跌价甚至报废的风险。</w:t>
      </w:r>
    </w:p>
    <w:p w14:paraId="5520DB24">
      <w:pPr>
        <w:pStyle w:val="3"/>
      </w:pPr>
      <w:r>
        <w:rPr>
          <w:rFonts w:ascii="Times New Roman" w:hAnsi="Times New Roman" w:eastAsia="微软雅黑"/>
          <w:sz w:val="24"/>
        </w:rPr>
        <w:t>继续以两家公司为例，假设年度营业成本和存货数据见表7-10。</w:t>
      </w:r>
    </w:p>
    <w:p w14:paraId="7CFB06B1">
      <w:pPr>
        <w:jc w:val="center"/>
        <w:pStyle w:val="3"/>
      </w:pPr>
      <w:r>
        <w:rPr>
          <w:rFonts w:ascii="Times New Roman" w:hAnsi="Times New Roman" w:eastAsia="微软雅黑"/>
          <w:b/>
          <w:bCs/>
          <w:sz w:val="24"/>
        </w:rPr>
        <w:t>表7-10 A公司与B公司存货周转计算数据（万元）</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36"/>
        <w:gridCol w:w="862"/>
        <w:gridCol w:w="850"/>
      </w:tblGrid>
      <w:tr w14:paraId="4ACBA8D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914BCFD">
            <w:pPr>
              <w:pStyle w:val="24"/>
              <w:jc w:val="left"/>
            </w:pPr>
            <w:r>
              <w:rPr>
                <w:rFonts w:ascii="Times New Roman" w:hAnsi="Times New Roman" w:eastAsia="微软雅黑"/>
                <w:b/>
                <w:color w:val="1E3A8A"/>
                <w:sz w:val="22"/>
              </w:rPr>
              <w:t>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08AFBEC8">
            <w:pPr>
              <w:pStyle w:val="24"/>
              <w:jc w:val="left"/>
            </w:pPr>
            <w:r>
              <w:rPr>
                <w:rFonts w:ascii="Times New Roman" w:hAnsi="Times New Roman" w:eastAsia="微软雅黑"/>
                <w:b/>
                <w:color w:val="1E3A8A"/>
                <w:sz w:val="22"/>
              </w:rPr>
              <w:t>A公司</w:t>
            </w:r>
          </w:p>
        </w:tc>
        <w:tc>
          <w:tcPr>
            <w:tcBorders>
              <w:top w:val="single" w:color="E2E8F0" w:sz="6" w:space="0"/>
              <w:left w:val="single" w:color="E2E8F0" w:sz="6" w:space="0"/>
              <w:bottom w:val="single" w:color="E2E8F0" w:sz="6" w:space="0"/>
              <w:right w:val="single" w:color="E2E8F0" w:sz="6" w:space="0"/>
            </w:tcBorders>
            <w:shd w:val="clear" w:color="auto" w:fill="EEF4FF"/>
          </w:tcPr>
          <w:p w14:paraId="5F81DA18">
            <w:pPr>
              <w:pStyle w:val="24"/>
              <w:jc w:val="left"/>
            </w:pPr>
            <w:r>
              <w:rPr>
                <w:rFonts w:ascii="Times New Roman" w:hAnsi="Times New Roman" w:eastAsia="微软雅黑"/>
                <w:b/>
                <w:color w:val="1E3A8A"/>
                <w:sz w:val="22"/>
              </w:rPr>
              <w:t>B公司</w:t>
            </w:r>
          </w:p>
        </w:tc>
      </w:tr>
      <w:tr w14:paraId="16BCFA8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2471F7A">
            <w:pPr>
              <w:pStyle w:val="24"/>
              <w:jc w:val="left"/>
            </w:pPr>
            <w:r>
              <w:rPr>
                <w:rFonts w:ascii="Times New Roman" w:hAnsi="Times New Roman" w:eastAsia="微软雅黑"/>
                <w:sz w:val="22"/>
              </w:rPr>
              <w:t>年度营业成本</w:t>
            </w:r>
          </w:p>
        </w:tc>
        <w:tc>
          <w:tcPr>
            <w:tcBorders>
              <w:top w:val="single" w:color="E2E8F0" w:sz="6" w:space="0"/>
              <w:left w:val="single" w:color="E2E8F0" w:sz="6" w:space="0"/>
              <w:bottom w:val="single" w:color="E2E8F0" w:sz="6" w:space="0"/>
              <w:right w:val="single" w:color="E2E8F0" w:sz="6" w:space="0"/>
            </w:tcBorders>
          </w:tcPr>
          <w:p w14:paraId="21661DFC">
            <w:pPr>
              <w:pStyle w:val="24"/>
              <w:jc w:val="left"/>
            </w:pPr>
            <w:r>
              <w:rPr>
                <w:rFonts w:ascii="Times New Roman" w:hAnsi="Times New Roman" w:eastAsia="微软雅黑"/>
                <w:sz w:val="22"/>
              </w:rPr>
              <w:t>1980</w:t>
            </w:r>
          </w:p>
        </w:tc>
        <w:tc>
          <w:tcPr>
            <w:tcBorders>
              <w:top w:val="single" w:color="E2E8F0" w:sz="6" w:space="0"/>
              <w:left w:val="single" w:color="E2E8F0" w:sz="6" w:space="0"/>
              <w:bottom w:val="single" w:color="E2E8F0" w:sz="6" w:space="0"/>
              <w:right w:val="single" w:color="E2E8F0" w:sz="6" w:space="0"/>
            </w:tcBorders>
          </w:tcPr>
          <w:p w14:paraId="33A0C18B">
            <w:pPr>
              <w:pStyle w:val="24"/>
              <w:jc w:val="left"/>
            </w:pPr>
            <w:r>
              <w:rPr>
                <w:rFonts w:ascii="Times New Roman" w:hAnsi="Times New Roman" w:eastAsia="微软雅黑"/>
                <w:sz w:val="22"/>
              </w:rPr>
              <w:t>2450</w:t>
            </w:r>
          </w:p>
        </w:tc>
      </w:tr>
      <w:tr w14:paraId="5A0A13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E7D36B3">
            <w:pPr>
              <w:pStyle w:val="24"/>
              <w:jc w:val="left"/>
            </w:pPr>
            <w:r>
              <w:rPr>
                <w:rFonts w:ascii="Times New Roman" w:hAnsi="Times New Roman" w:eastAsia="微软雅黑"/>
                <w:sz w:val="22"/>
              </w:rPr>
              <w:t>期初存货</w:t>
            </w:r>
          </w:p>
        </w:tc>
        <w:tc>
          <w:tcPr>
            <w:tcBorders>
              <w:top w:val="single" w:color="E2E8F0" w:sz="6" w:space="0"/>
              <w:left w:val="single" w:color="E2E8F0" w:sz="6" w:space="0"/>
              <w:bottom w:val="single" w:color="E2E8F0" w:sz="6" w:space="0"/>
              <w:right w:val="single" w:color="E2E8F0" w:sz="6" w:space="0"/>
            </w:tcBorders>
            <w:shd w:val="clear" w:color="auto" w:fill="F8FAFC"/>
          </w:tcPr>
          <w:p w14:paraId="61ADDBB4">
            <w:pPr>
              <w:pStyle w:val="24"/>
              <w:jc w:val="left"/>
            </w:pPr>
            <w:r>
              <w:rPr>
                <w:rFonts w:ascii="Times New Roman" w:hAnsi="Times New Roman" w:eastAsia="微软雅黑"/>
                <w:sz w:val="22"/>
              </w:rPr>
              <w:t>140</w:t>
            </w:r>
          </w:p>
        </w:tc>
        <w:tc>
          <w:tcPr>
            <w:tcBorders>
              <w:top w:val="single" w:color="E2E8F0" w:sz="6" w:space="0"/>
              <w:left w:val="single" w:color="E2E8F0" w:sz="6" w:space="0"/>
              <w:bottom w:val="single" w:color="E2E8F0" w:sz="6" w:space="0"/>
              <w:right w:val="single" w:color="E2E8F0" w:sz="6" w:space="0"/>
            </w:tcBorders>
            <w:shd w:val="clear" w:color="auto" w:fill="F8FAFC"/>
          </w:tcPr>
          <w:p w14:paraId="5F539149">
            <w:pPr>
              <w:pStyle w:val="24"/>
              <w:jc w:val="left"/>
            </w:pPr>
            <w:r>
              <w:rPr>
                <w:rFonts w:ascii="Times New Roman" w:hAnsi="Times New Roman" w:eastAsia="微软雅黑"/>
                <w:sz w:val="22"/>
              </w:rPr>
              <w:t>365</w:t>
            </w:r>
          </w:p>
        </w:tc>
      </w:tr>
      <w:tr w14:paraId="2A719E1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893F462">
            <w:pPr>
              <w:pStyle w:val="24"/>
              <w:jc w:val="left"/>
            </w:pPr>
            <w:r>
              <w:rPr>
                <w:rFonts w:ascii="Times New Roman" w:hAnsi="Times New Roman" w:eastAsia="微软雅黑"/>
                <w:sz w:val="22"/>
              </w:rPr>
              <w:t>期末存货</w:t>
            </w:r>
          </w:p>
        </w:tc>
        <w:tc>
          <w:tcPr>
            <w:tcBorders>
              <w:top w:val="single" w:color="E2E8F0" w:sz="6" w:space="0"/>
              <w:left w:val="single" w:color="E2E8F0" w:sz="6" w:space="0"/>
              <w:bottom w:val="single" w:color="E2E8F0" w:sz="6" w:space="0"/>
              <w:right w:val="single" w:color="E2E8F0" w:sz="6" w:space="0"/>
            </w:tcBorders>
          </w:tcPr>
          <w:p w14:paraId="7046D83B">
            <w:pPr>
              <w:pStyle w:val="24"/>
              <w:jc w:val="left"/>
            </w:pPr>
            <w:r>
              <w:rPr>
                <w:rFonts w:ascii="Times New Roman" w:hAnsi="Times New Roman" w:eastAsia="微软雅黑"/>
                <w:sz w:val="22"/>
              </w:rPr>
              <w:t>150</w:t>
            </w:r>
          </w:p>
        </w:tc>
        <w:tc>
          <w:tcPr>
            <w:tcBorders>
              <w:top w:val="single" w:color="E2E8F0" w:sz="6" w:space="0"/>
              <w:left w:val="single" w:color="E2E8F0" w:sz="6" w:space="0"/>
              <w:bottom w:val="single" w:color="E2E8F0" w:sz="6" w:space="0"/>
              <w:right w:val="single" w:color="E2E8F0" w:sz="6" w:space="0"/>
            </w:tcBorders>
          </w:tcPr>
          <w:p w14:paraId="637BA7B9">
            <w:pPr>
              <w:pStyle w:val="24"/>
              <w:jc w:val="left"/>
            </w:pPr>
            <w:r>
              <w:rPr>
                <w:rFonts w:ascii="Times New Roman" w:hAnsi="Times New Roman" w:eastAsia="微软雅黑"/>
                <w:sz w:val="22"/>
              </w:rPr>
              <w:t>380</w:t>
            </w:r>
          </w:p>
        </w:tc>
      </w:tr>
      <w:tr w14:paraId="161B069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66DCDFE">
            <w:pPr>
              <w:pStyle w:val="24"/>
              <w:jc w:val="left"/>
            </w:pPr>
            <w:r>
              <w:rPr>
                <w:rFonts w:ascii="Times New Roman" w:hAnsi="Times New Roman" w:eastAsia="微软雅黑"/>
                <w:sz w:val="22"/>
              </w:rPr>
              <w:t>存货平均余额</w:t>
            </w:r>
          </w:p>
        </w:tc>
        <w:tc>
          <w:tcPr>
            <w:tcBorders>
              <w:top w:val="single" w:color="E2E8F0" w:sz="6" w:space="0"/>
              <w:left w:val="single" w:color="E2E8F0" w:sz="6" w:space="0"/>
              <w:bottom w:val="single" w:color="E2E8F0" w:sz="6" w:space="0"/>
              <w:right w:val="single" w:color="E2E8F0" w:sz="6" w:space="0"/>
            </w:tcBorders>
            <w:shd w:val="clear" w:color="auto" w:fill="F8FAFC"/>
          </w:tcPr>
          <w:p w14:paraId="5B641647">
            <w:pPr>
              <w:pStyle w:val="24"/>
              <w:jc w:val="left"/>
            </w:pPr>
            <w:r>
              <w:rPr>
                <w:rFonts w:ascii="Times New Roman" w:hAnsi="Times New Roman" w:eastAsia="微软雅黑"/>
                <w:sz w:val="22"/>
              </w:rPr>
              <w:t>145.0</w:t>
            </w:r>
          </w:p>
        </w:tc>
        <w:tc>
          <w:tcPr>
            <w:tcBorders>
              <w:top w:val="single" w:color="E2E8F0" w:sz="6" w:space="0"/>
              <w:left w:val="single" w:color="E2E8F0" w:sz="6" w:space="0"/>
              <w:bottom w:val="single" w:color="E2E8F0" w:sz="6" w:space="0"/>
              <w:right w:val="single" w:color="E2E8F0" w:sz="6" w:space="0"/>
            </w:tcBorders>
            <w:shd w:val="clear" w:color="auto" w:fill="F8FAFC"/>
          </w:tcPr>
          <w:p w14:paraId="3C6C2D44">
            <w:pPr>
              <w:pStyle w:val="24"/>
              <w:jc w:val="left"/>
            </w:pPr>
            <w:r>
              <w:rPr>
                <w:rFonts w:ascii="Times New Roman" w:hAnsi="Times New Roman" w:eastAsia="微软雅黑"/>
                <w:sz w:val="22"/>
              </w:rPr>
              <w:t>372.5</w:t>
            </w:r>
          </w:p>
        </w:tc>
      </w:tr>
    </w:tbl>
    <w:p w14:paraId="1BBFDFE0">
      <w:pPr>
        <w:pStyle w:val="3"/>
      </w:pPr>
      <w:r>
        <w:rPr>
          <w:rFonts w:ascii="Times New Roman" w:hAnsi="Times New Roman" w:eastAsia="微软雅黑"/>
          <w:sz w:val="24"/>
        </w:rPr>
        <w:t>存货周转率：A公司 = 1980/145 = 13.7次；B公司 = 2450/372.5 = 6.6次</w:t>
      </w:r>
    </w:p>
    <w:p w14:paraId="66F93754">
      <w:pPr>
        <w:pStyle w:val="3"/>
      </w:pPr>
      <w:r>
        <w:rPr>
          <w:rFonts w:ascii="Times New Roman" w:hAnsi="Times New Roman" w:eastAsia="微软雅黑"/>
          <w:sz w:val="24"/>
        </w:rPr>
        <w:t>存货周转天数：A公司 = 365/13.7 = 27天；B公司 = 365/6.6 = 55天</w:t>
      </w:r>
    </w:p>
    <w:p w14:paraId="7E1A003A">
      <w:pPr>
        <w:pStyle w:val="3"/>
      </w:pPr>
      <w:r>
        <w:rPr>
          <w:rFonts w:ascii="Times New Roman" w:hAnsi="Times New Roman" w:eastAsia="微软雅黑"/>
          <w:sz w:val="24"/>
        </w:rPr>
        <w:t>B公司的存货平均需要55天才能卖出去，而A公司只需要27天。在餐饮等对食材新鲜度要求较高的行业，存货周转偏慢是一个严重的问题信号；在制造业，55天对某些行业可能属于正常范围，需要结合行业特点判断。</w:t>
      </w:r>
    </w:p>
    <w:bookmarkEnd w:id="27"/>
    <w:p w14:paraId="7778EFD9">
      <w:pPr>
        <w:pStyle w:val="5"/>
      </w:pPr>
      <w:bookmarkStart w:id="28" w:name="三个营运能力指标的综合视角"/>
      <w:r>
        <w:rPr>
          <w:rFonts w:ascii="Times New Roman" w:hAnsi="Times New Roman" w:eastAsia="微软雅黑"/>
          <w:sz w:val="24"/>
        </w:rPr>
        <w:t>4. 三个营运能力指标的综合视角</w:t>
      </w:r>
    </w:p>
    <w:p w14:paraId="52006973">
      <w:pPr>
        <w:pStyle w:val="23"/>
      </w:pPr>
      <w:r>
        <w:rPr>
          <w:rFonts w:ascii="Times New Roman" w:hAnsi="Times New Roman" w:eastAsia="微软雅黑"/>
          <w:sz w:val="24"/>
        </w:rPr>
        <w:t>除应收账款和存货周转外，总资产周转率也是营运能力分析中常用的一个综合性指标。</w:t>
      </w:r>
    </w:p>
    <w:p w14:paraId="347BB867">
      <w:pPr>
        <w:pStyle w:val="3"/>
      </w:pPr>
      <w:r>
        <w:rPr>
          <w:rFonts w:ascii="Times New Roman" w:hAnsi="Times New Roman" w:eastAsia="微软雅黑"/>
          <w:sz w:val="24"/>
        </w:rPr>
        <w:t>总资产周转率 = 营业收入 / 资产总额平均值</w:t>
      </w:r>
    </w:p>
    <w:p w14:paraId="712DBA57">
      <w:pPr>
        <w:pStyle w:val="3"/>
      </w:pPr>
      <w:r>
        <w:rPr>
          <w:rFonts w:ascii="Times New Roman" w:hAnsi="Times New Roman" w:eastAsia="微软雅黑"/>
          <w:sz w:val="24"/>
        </w:rPr>
        <w:t>它衡量的是企业全部资产的使用效率：每1元资产能产生多少收入。这个指标越高，说明企业资产的产出效率越高。</w:t>
      </w:r>
    </w:p>
    <w:p w14:paraId="6FD9AB3E">
      <w:pPr>
        <w:pStyle w:val="3"/>
      </w:pPr>
      <w:r>
        <w:rPr>
          <w:rFonts w:ascii="Times New Roman" w:hAnsi="Times New Roman" w:eastAsia="微软雅黑"/>
          <w:sz w:val="24"/>
        </w:rPr>
        <w:t>三个营运能力指标的对比见表7-11。</w:t>
      </w:r>
    </w:p>
    <w:p w14:paraId="691F3AEA">
      <w:pPr>
        <w:jc w:val="center"/>
        <w:pStyle w:val="3"/>
      </w:pPr>
      <w:r>
        <w:rPr>
          <w:rFonts w:ascii="Times New Roman" w:hAnsi="Times New Roman" w:eastAsia="微软雅黑"/>
          <w:b/>
          <w:bCs/>
          <w:sz w:val="24"/>
        </w:rPr>
        <w:t>表7-11 三个营运能力指标的比较</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70"/>
        <w:gridCol w:w="1770"/>
        <w:gridCol w:w="2436"/>
        <w:gridCol w:w="2880"/>
      </w:tblGrid>
      <w:tr w14:paraId="226C4CD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8B99CB7">
            <w:pPr>
              <w:pStyle w:val="24"/>
              <w:jc w:val="left"/>
            </w:pPr>
            <w:r>
              <w:rPr>
                <w:rFonts w:ascii="Times New Roman" w:hAnsi="Times New Roman" w:eastAsia="微软雅黑"/>
                <w:b/>
                <w:color w:val="1E3A8A"/>
                <w:sz w:val="22"/>
              </w:rPr>
              <w:t>指标</w:t>
            </w:r>
          </w:p>
        </w:tc>
        <w:tc>
          <w:tcPr>
            <w:tcBorders>
              <w:top w:val="single" w:color="E2E8F0" w:sz="6" w:space="0"/>
              <w:left w:val="single" w:color="E2E8F0" w:sz="6" w:space="0"/>
              <w:bottom w:val="single" w:color="E2E8F0" w:sz="6" w:space="0"/>
              <w:right w:val="single" w:color="E2E8F0" w:sz="6" w:space="0"/>
            </w:tcBorders>
            <w:shd w:val="clear" w:color="auto" w:fill="EEF4FF"/>
          </w:tcPr>
          <w:p w14:paraId="2FCCE0F7">
            <w:pPr>
              <w:pStyle w:val="24"/>
              <w:jc w:val="left"/>
            </w:pPr>
            <w:r>
              <w:rPr>
                <w:rFonts w:ascii="Times New Roman" w:hAnsi="Times New Roman" w:eastAsia="微软雅黑"/>
                <w:b/>
                <w:color w:val="1E3A8A"/>
                <w:sz w:val="22"/>
              </w:rPr>
              <w:t>关注的资产类型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5206D237">
            <w:pPr>
              <w:pStyle w:val="24"/>
              <w:jc w:val="left"/>
            </w:pPr>
            <w:r>
              <w:rPr>
                <w:rFonts w:ascii="Times New Roman" w:hAnsi="Times New Roman" w:eastAsia="微软雅黑"/>
                <w:b/>
                <w:color w:val="1E3A8A"/>
                <w:sz w:val="22"/>
              </w:rPr>
              <w:t>核心问题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21747195">
            <w:pPr>
              <w:pStyle w:val="24"/>
              <w:jc w:val="left"/>
            </w:pPr>
            <w:r>
              <w:rPr>
                <w:rFonts w:ascii="Times New Roman" w:hAnsi="Times New Roman" w:eastAsia="微软雅黑"/>
                <w:b/>
                <w:color w:val="1E3A8A"/>
                <w:sz w:val="22"/>
              </w:rPr>
              <w:t>指标越高说明</w:t>
            </w:r>
          </w:p>
        </w:tc>
      </w:tr>
      <w:tr w14:paraId="4D60DBC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2194735">
            <w:pPr>
              <w:pStyle w:val="24"/>
              <w:jc w:val="left"/>
            </w:pPr>
            <w:r>
              <w:rPr>
                <w:rFonts w:ascii="Times New Roman" w:hAnsi="Times New Roman" w:eastAsia="微软雅黑"/>
                <w:sz w:val="22"/>
              </w:rPr>
              <w:t>应收账款周转率</w:t>
            </w:r>
          </w:p>
        </w:tc>
        <w:tc>
          <w:tcPr>
            <w:tcBorders>
              <w:top w:val="single" w:color="E2E8F0" w:sz="6" w:space="0"/>
              <w:left w:val="single" w:color="E2E8F0" w:sz="6" w:space="0"/>
              <w:bottom w:val="single" w:color="E2E8F0" w:sz="6" w:space="0"/>
              <w:right w:val="single" w:color="E2E8F0" w:sz="6" w:space="0"/>
            </w:tcBorders>
          </w:tcPr>
          <w:p w14:paraId="6C80107C">
            <w:pPr>
              <w:pStyle w:val="24"/>
              <w:jc w:val="left"/>
            </w:pPr>
            <w:r>
              <w:rPr>
                <w:rFonts w:ascii="Times New Roman" w:hAnsi="Times New Roman" w:eastAsia="微软雅黑"/>
                <w:sz w:val="22"/>
              </w:rPr>
              <w:t>应收账款</w:t>
            </w:r>
          </w:p>
        </w:tc>
        <w:tc>
          <w:tcPr>
            <w:tcBorders>
              <w:top w:val="single" w:color="E2E8F0" w:sz="6" w:space="0"/>
              <w:left w:val="single" w:color="E2E8F0" w:sz="6" w:space="0"/>
              <w:bottom w:val="single" w:color="E2E8F0" w:sz="6" w:space="0"/>
              <w:right w:val="single" w:color="E2E8F0" w:sz="6" w:space="0"/>
            </w:tcBorders>
          </w:tcPr>
          <w:p w14:paraId="2C97F9B6">
            <w:pPr>
              <w:pStyle w:val="24"/>
              <w:jc w:val="left"/>
            </w:pPr>
            <w:r>
              <w:rPr>
                <w:rFonts w:ascii="Times New Roman" w:hAnsi="Times New Roman" w:eastAsia="微软雅黑"/>
                <w:sz w:val="22"/>
              </w:rPr>
              <w:t>账款回收速度如何</w:t>
            </w:r>
          </w:p>
        </w:tc>
        <w:tc>
          <w:tcPr>
            <w:tcBorders>
              <w:top w:val="single" w:color="E2E8F0" w:sz="6" w:space="0"/>
              <w:left w:val="single" w:color="E2E8F0" w:sz="6" w:space="0"/>
              <w:bottom w:val="single" w:color="E2E8F0" w:sz="6" w:space="0"/>
              <w:right w:val="single" w:color="E2E8F0" w:sz="6" w:space="0"/>
            </w:tcBorders>
          </w:tcPr>
          <w:p w14:paraId="734EDB2F">
            <w:pPr>
              <w:pStyle w:val="24"/>
              <w:jc w:val="left"/>
            </w:pPr>
            <w:r>
              <w:rPr>
                <w:rFonts w:ascii="Times New Roman" w:hAnsi="Times New Roman" w:eastAsia="微软雅黑"/>
                <w:sz w:val="22"/>
              </w:rPr>
              <w:t>账款回收越快，资金流越好</w:t>
            </w:r>
          </w:p>
        </w:tc>
      </w:tr>
      <w:tr w14:paraId="2F8E236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703E01E">
            <w:pPr>
              <w:pStyle w:val="24"/>
              <w:jc w:val="left"/>
            </w:pPr>
            <w:r>
              <w:rPr>
                <w:rFonts w:ascii="Times New Roman" w:hAnsi="Times New Roman" w:eastAsia="微软雅黑"/>
                <w:sz w:val="22"/>
              </w:rPr>
              <w:t>存货周转率</w:t>
            </w:r>
          </w:p>
        </w:tc>
        <w:tc>
          <w:tcPr>
            <w:tcBorders>
              <w:top w:val="single" w:color="E2E8F0" w:sz="6" w:space="0"/>
              <w:left w:val="single" w:color="E2E8F0" w:sz="6" w:space="0"/>
              <w:bottom w:val="single" w:color="E2E8F0" w:sz="6" w:space="0"/>
              <w:right w:val="single" w:color="E2E8F0" w:sz="6" w:space="0"/>
            </w:tcBorders>
            <w:shd w:val="clear" w:color="auto" w:fill="F8FAFC"/>
          </w:tcPr>
          <w:p w14:paraId="0FCCC14F">
            <w:pPr>
              <w:pStyle w:val="24"/>
              <w:jc w:val="left"/>
            </w:pPr>
            <w:r>
              <w:rPr>
                <w:rFonts w:ascii="Times New Roman" w:hAnsi="Times New Roman" w:eastAsia="微软雅黑"/>
                <w:sz w:val="22"/>
              </w:rPr>
              <w:t>存货</w:t>
            </w:r>
          </w:p>
        </w:tc>
        <w:tc>
          <w:tcPr>
            <w:tcBorders>
              <w:top w:val="single" w:color="E2E8F0" w:sz="6" w:space="0"/>
              <w:left w:val="single" w:color="E2E8F0" w:sz="6" w:space="0"/>
              <w:bottom w:val="single" w:color="E2E8F0" w:sz="6" w:space="0"/>
              <w:right w:val="single" w:color="E2E8F0" w:sz="6" w:space="0"/>
            </w:tcBorders>
            <w:shd w:val="clear" w:color="auto" w:fill="F8FAFC"/>
          </w:tcPr>
          <w:p w14:paraId="0EA33C76">
            <w:pPr>
              <w:pStyle w:val="24"/>
              <w:jc w:val="left"/>
            </w:pPr>
            <w:r>
              <w:rPr>
                <w:rFonts w:ascii="Times New Roman" w:hAnsi="Times New Roman" w:eastAsia="微软雅黑"/>
                <w:sz w:val="22"/>
              </w:rPr>
              <w:t>存货销售速度如何</w:t>
            </w:r>
          </w:p>
        </w:tc>
        <w:tc>
          <w:tcPr>
            <w:tcBorders>
              <w:top w:val="single" w:color="E2E8F0" w:sz="6" w:space="0"/>
              <w:left w:val="single" w:color="E2E8F0" w:sz="6" w:space="0"/>
              <w:bottom w:val="single" w:color="E2E8F0" w:sz="6" w:space="0"/>
              <w:right w:val="single" w:color="E2E8F0" w:sz="6" w:space="0"/>
            </w:tcBorders>
            <w:shd w:val="clear" w:color="auto" w:fill="F8FAFC"/>
          </w:tcPr>
          <w:p w14:paraId="1C581378">
            <w:pPr>
              <w:pStyle w:val="24"/>
              <w:jc w:val="left"/>
            </w:pPr>
            <w:r>
              <w:rPr>
                <w:rFonts w:ascii="Times New Roman" w:hAnsi="Times New Roman" w:eastAsia="微软雅黑"/>
                <w:sz w:val="22"/>
              </w:rPr>
              <w:t>存货销售越快，积压越少</w:t>
            </w:r>
          </w:p>
        </w:tc>
      </w:tr>
      <w:tr w14:paraId="041778D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FEA5469">
            <w:pPr>
              <w:pStyle w:val="24"/>
              <w:jc w:val="left"/>
            </w:pPr>
            <w:r>
              <w:rPr>
                <w:rFonts w:ascii="Times New Roman" w:hAnsi="Times New Roman" w:eastAsia="微软雅黑"/>
                <w:sz w:val="22"/>
              </w:rPr>
              <w:t>总资产周转率</w:t>
            </w:r>
          </w:p>
        </w:tc>
        <w:tc>
          <w:tcPr>
            <w:tcBorders>
              <w:top w:val="single" w:color="E2E8F0" w:sz="6" w:space="0"/>
              <w:left w:val="single" w:color="E2E8F0" w:sz="6" w:space="0"/>
              <w:bottom w:val="single" w:color="E2E8F0" w:sz="6" w:space="0"/>
              <w:right w:val="single" w:color="E2E8F0" w:sz="6" w:space="0"/>
            </w:tcBorders>
          </w:tcPr>
          <w:p w14:paraId="3591C62E">
            <w:pPr>
              <w:pStyle w:val="24"/>
              <w:jc w:val="left"/>
            </w:pPr>
            <w:r>
              <w:rPr>
                <w:rFonts w:ascii="Times New Roman" w:hAnsi="Times New Roman" w:eastAsia="微软雅黑"/>
                <w:sz w:val="22"/>
              </w:rPr>
              <w:t>全部资产</w:t>
            </w:r>
          </w:p>
        </w:tc>
        <w:tc>
          <w:tcPr>
            <w:tcBorders>
              <w:top w:val="single" w:color="E2E8F0" w:sz="6" w:space="0"/>
              <w:left w:val="single" w:color="E2E8F0" w:sz="6" w:space="0"/>
              <w:bottom w:val="single" w:color="E2E8F0" w:sz="6" w:space="0"/>
              <w:right w:val="single" w:color="E2E8F0" w:sz="6" w:space="0"/>
            </w:tcBorders>
          </w:tcPr>
          <w:p w14:paraId="4A422323">
            <w:pPr>
              <w:pStyle w:val="24"/>
              <w:jc w:val="left"/>
            </w:pPr>
            <w:r>
              <w:rPr>
                <w:rFonts w:ascii="Times New Roman" w:hAnsi="Times New Roman" w:eastAsia="微软雅黑"/>
                <w:sz w:val="22"/>
              </w:rPr>
              <w:t>资产综合使用效率如何</w:t>
            </w:r>
          </w:p>
        </w:tc>
        <w:tc>
          <w:tcPr>
            <w:tcBorders>
              <w:top w:val="single" w:color="E2E8F0" w:sz="6" w:space="0"/>
              <w:left w:val="single" w:color="E2E8F0" w:sz="6" w:space="0"/>
              <w:bottom w:val="single" w:color="E2E8F0" w:sz="6" w:space="0"/>
              <w:right w:val="single" w:color="E2E8F0" w:sz="6" w:space="0"/>
            </w:tcBorders>
          </w:tcPr>
          <w:p w14:paraId="2963213A">
            <w:pPr>
              <w:pStyle w:val="24"/>
              <w:jc w:val="left"/>
            </w:pPr>
            <w:r>
              <w:rPr>
                <w:rFonts w:ascii="Times New Roman" w:hAnsi="Times New Roman" w:eastAsia="微软雅黑"/>
                <w:sz w:val="22"/>
              </w:rPr>
              <w:t>整体资产利用率越高</w:t>
            </w:r>
          </w:p>
        </w:tc>
      </w:tr>
    </w:tbl>
    <w:p w14:paraId="2E342B92">
      <w:r>
        <w:pict>
          <v:rect id="_x0000_i1037" o:spt="1" style="height:1.5pt;width:0pt;" coordsize="21600,21600" o:hr="t" o:hrstd="t" o:hralign="center">
            <v:path/>
            <v:fill focussize="0,0"/>
            <v:stroke/>
            <v:imagedata o:title=""/>
            <o:lock v:ext="edit"/>
            <w10:wrap type="none"/>
            <w10:anchorlock/>
          </v:rect>
        </w:pict>
      </w:r>
    </w:p>
    <w:bookmarkEnd w:id="24"/>
    <w:bookmarkEnd w:id="28"/>
    <w:p w14:paraId="036915F3">
      <w:pPr>
        <w:pStyle w:val="4"/>
      </w:pPr>
      <w:bookmarkStart w:id="29" w:name="利润率与回报率分析"/>
      <w:r>
        <w:rPr>
          <w:rFonts w:ascii="Times New Roman" w:hAnsi="Times New Roman" w:eastAsia="微软雅黑"/>
          <w:sz w:val="24"/>
        </w:rPr>
        <w:t>7.2.2 利润率与回报率分析</w:t>
      </w:r>
    </w:p>
    <w:p w14:paraId="4FF4D0C7">
      <w:pPr>
        <w:pStyle w:val="5"/>
      </w:pPr>
      <w:bookmarkStart w:id="30" w:name="盈利能力的两个层次"/>
      <w:r>
        <w:rPr>
          <w:rFonts w:ascii="Times New Roman" w:hAnsi="Times New Roman" w:eastAsia="微软雅黑"/>
          <w:sz w:val="24"/>
        </w:rPr>
        <w:t>1. 盈利能力的两个层次</w:t>
      </w:r>
    </w:p>
    <w:p w14:paraId="79CEAA16">
      <w:pPr>
        <w:pStyle w:val="23"/>
      </w:pPr>
      <w:r>
        <w:rPr>
          <w:rFonts w:ascii="Times New Roman" w:hAnsi="Times New Roman" w:eastAsia="微软雅黑"/>
          <w:sz w:val="24"/>
        </w:rPr>
        <w:t>盈利能力指标回答的问题是：这家企业赚钱的能力有多强？但这个问题本身有两个层次：</w:t>
      </w:r>
    </w:p>
    <w:p w14:paraId="020627BF">
      <w:pPr>
        <w:pStyle w:val="3"/>
      </w:pPr>
      <w:r>
        <w:rPr>
          <w:rFonts w:ascii="Times New Roman" w:hAnsi="Times New Roman" w:eastAsia="微软雅黑"/>
          <w:sz w:val="24"/>
        </w:rPr>
        <w:t>第一个层次是</w:t>
      </w:r>
      <w:r>
        <w:rPr>
          <w:rFonts w:ascii="Times New Roman" w:hAnsi="Times New Roman" w:eastAsia="微软雅黑"/>
          <w:b/>
          <w:bCs/>
          <w:sz w:val="24"/>
        </w:rPr>
        <w:t>经营层面</w:t>
      </w:r>
      <w:r>
        <w:rPr>
          <w:rFonts w:ascii="Times New Roman" w:hAnsi="Times New Roman" w:eastAsia="微软雅黑"/>
          <w:sz w:val="24"/>
        </w:rPr>
        <w:t>：每销售1元钱，能赚多少利润？这是利润率类指标关注的问题。</w:t>
      </w:r>
    </w:p>
    <w:p w14:paraId="33041C52">
      <w:pPr>
        <w:pStyle w:val="3"/>
      </w:pPr>
      <w:r>
        <w:rPr>
          <w:rFonts w:ascii="Times New Roman" w:hAnsi="Times New Roman" w:eastAsia="微软雅黑"/>
          <w:sz w:val="24"/>
        </w:rPr>
        <w:t>第二个层次是</w:t>
      </w:r>
      <w:r>
        <w:rPr>
          <w:rFonts w:ascii="Times New Roman" w:hAnsi="Times New Roman" w:eastAsia="微软雅黑"/>
          <w:b/>
          <w:bCs/>
          <w:sz w:val="24"/>
        </w:rPr>
        <w:t>回报层面</w:t>
      </w:r>
      <w:r>
        <w:rPr>
          <w:rFonts w:ascii="Times New Roman" w:hAnsi="Times New Roman" w:eastAsia="微软雅黑"/>
          <w:sz w:val="24"/>
        </w:rPr>
        <w:t>：投入的资产和资本，产生了多少回报？这是回报率类指标关注的问题。</w:t>
      </w:r>
    </w:p>
    <w:bookmarkEnd w:id="30"/>
    <w:p w14:paraId="4F0D4EA5">
      <w:pPr>
        <w:pStyle w:val="5"/>
      </w:pPr>
      <w:bookmarkStart w:id="31" w:name="主要利润率指标"/>
      <w:r>
        <w:rPr>
          <w:rFonts w:ascii="Times New Roman" w:hAnsi="Times New Roman" w:eastAsia="微软雅黑"/>
          <w:sz w:val="24"/>
        </w:rPr>
        <w:t>2. 主要利润率指标</w:t>
      </w:r>
    </w:p>
    <w:p w14:paraId="16E6E6B9">
      <w:pPr>
        <w:pStyle w:val="23"/>
      </w:pPr>
      <w:r>
        <w:rPr>
          <w:rFonts w:ascii="Times New Roman" w:hAnsi="Times New Roman" w:eastAsia="微软雅黑"/>
          <w:sz w:val="24"/>
        </w:rPr>
        <w:t>盈利能力的主要利润率指标见表7-12。</w:t>
      </w:r>
    </w:p>
    <w:p w14:paraId="6AABF0D6">
      <w:pPr>
        <w:jc w:val="center"/>
        <w:pStyle w:val="3"/>
      </w:pPr>
      <w:r>
        <w:rPr>
          <w:rFonts w:ascii="Times New Roman" w:hAnsi="Times New Roman" w:eastAsia="微软雅黑"/>
          <w:b/>
          <w:bCs/>
          <w:sz w:val="24"/>
        </w:rPr>
        <w:t>表7-12 主要利润率指标</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57"/>
        <w:gridCol w:w="2262"/>
        <w:gridCol w:w="1357"/>
        <w:gridCol w:w="2941"/>
      </w:tblGrid>
      <w:tr w14:paraId="186B5A5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C02F48D">
            <w:pPr>
              <w:pStyle w:val="24"/>
              <w:jc w:val="left"/>
            </w:pPr>
            <w:r>
              <w:rPr>
                <w:rFonts w:ascii="Times New Roman" w:hAnsi="Times New Roman" w:eastAsia="微软雅黑"/>
                <w:b/>
                <w:color w:val="1E3A8A"/>
                <w:sz w:val="22"/>
              </w:rPr>
              <w:t>指标</w:t>
            </w:r>
          </w:p>
        </w:tc>
        <w:tc>
          <w:tcPr>
            <w:tcBorders>
              <w:top w:val="single" w:color="E2E8F0" w:sz="6" w:space="0"/>
              <w:left w:val="single" w:color="E2E8F0" w:sz="6" w:space="0"/>
              <w:bottom w:val="single" w:color="E2E8F0" w:sz="6" w:space="0"/>
              <w:right w:val="single" w:color="E2E8F0" w:sz="6" w:space="0"/>
            </w:tcBorders>
            <w:shd w:val="clear" w:color="auto" w:fill="EEF4FF"/>
          </w:tcPr>
          <w:p w14:paraId="739A9C67">
            <w:pPr>
              <w:pStyle w:val="24"/>
              <w:jc w:val="left"/>
            </w:pPr>
            <w:r>
              <w:rPr>
                <w:rFonts w:ascii="Times New Roman" w:hAnsi="Times New Roman" w:eastAsia="微软雅黑"/>
                <w:b/>
                <w:color w:val="1E3A8A"/>
                <w:sz w:val="22"/>
              </w:rPr>
              <w:t>计算公式</w:t>
            </w:r>
          </w:p>
        </w:tc>
        <w:tc>
          <w:tcPr>
            <w:tcBorders>
              <w:top w:val="single" w:color="E2E8F0" w:sz="6" w:space="0"/>
              <w:left w:val="single" w:color="E2E8F0" w:sz="6" w:space="0"/>
              <w:bottom w:val="single" w:color="E2E8F0" w:sz="6" w:space="0"/>
              <w:right w:val="single" w:color="E2E8F0" w:sz="6" w:space="0"/>
            </w:tcBorders>
            <w:shd w:val="clear" w:color="auto" w:fill="EEF4FF"/>
          </w:tcPr>
          <w:p w14:paraId="7067F409">
            <w:pPr>
              <w:pStyle w:val="24"/>
              <w:jc w:val="left"/>
            </w:pPr>
            <w:r>
              <w:rPr>
                <w:rFonts w:ascii="Times New Roman" w:hAnsi="Times New Roman" w:eastAsia="微软雅黑"/>
                <w:b/>
                <w:color w:val="1E3A8A"/>
                <w:sz w:val="22"/>
              </w:rPr>
              <w:t>含义</w:t>
            </w:r>
          </w:p>
        </w:tc>
        <w:tc>
          <w:tcPr>
            <w:tcBorders>
              <w:top w:val="single" w:color="E2E8F0" w:sz="6" w:space="0"/>
              <w:left w:val="single" w:color="E2E8F0" w:sz="6" w:space="0"/>
              <w:bottom w:val="single" w:color="E2E8F0" w:sz="6" w:space="0"/>
              <w:right w:val="single" w:color="E2E8F0" w:sz="6" w:space="0"/>
            </w:tcBorders>
            <w:shd w:val="clear" w:color="auto" w:fill="EEF4FF"/>
          </w:tcPr>
          <w:p w14:paraId="67B770BA">
            <w:pPr>
              <w:pStyle w:val="24"/>
              <w:jc w:val="left"/>
            </w:pPr>
            <w:r>
              <w:rPr>
                <w:rFonts w:ascii="Times New Roman" w:hAnsi="Times New Roman" w:eastAsia="微软雅黑"/>
                <w:b/>
                <w:color w:val="1E3A8A"/>
                <w:sz w:val="22"/>
              </w:rPr>
              <w:t>典型应用场景</w:t>
            </w:r>
          </w:p>
        </w:tc>
      </w:tr>
      <w:tr w14:paraId="16C4811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842E717">
            <w:pPr>
              <w:pStyle w:val="24"/>
              <w:jc w:val="left"/>
            </w:pPr>
            <w:r>
              <w:rPr>
                <w:rFonts w:ascii="Times New Roman" w:hAnsi="Times New Roman" w:eastAsia="微软雅黑"/>
                <w:sz w:val="22"/>
              </w:rPr>
              <w:t>毛利率</w:t>
            </w:r>
          </w:p>
        </w:tc>
        <w:tc>
          <w:tcPr>
            <w:tcBorders>
              <w:top w:val="single" w:color="E2E8F0" w:sz="6" w:space="0"/>
              <w:left w:val="single" w:color="E2E8F0" w:sz="6" w:space="0"/>
              <w:bottom w:val="single" w:color="E2E8F0" w:sz="6" w:space="0"/>
              <w:right w:val="single" w:color="E2E8F0" w:sz="6" w:space="0"/>
            </w:tcBorders>
          </w:tcPr>
          <w:p w14:paraId="266E8BE9">
            <w:pPr>
              <w:pStyle w:val="24"/>
              <w:jc w:val="left"/>
            </w:pPr>
            <w:r>
              <w:rPr>
                <w:rFonts w:ascii="Times New Roman" w:hAnsi="Times New Roman" w:eastAsia="微软雅黑"/>
                <w:sz w:val="22"/>
              </w:rPr>
              <w:t>（营业收入-营业成本）/ 营业收入</w:t>
            </w:r>
          </w:p>
        </w:tc>
        <w:tc>
          <w:tcPr>
            <w:tcBorders>
              <w:top w:val="single" w:color="E2E8F0" w:sz="6" w:space="0"/>
              <w:left w:val="single" w:color="E2E8F0" w:sz="6" w:space="0"/>
              <w:bottom w:val="single" w:color="E2E8F0" w:sz="6" w:space="0"/>
              <w:right w:val="single" w:color="E2E8F0" w:sz="6" w:space="0"/>
            </w:tcBorders>
          </w:tcPr>
          <w:p w14:paraId="5FA3327C">
            <w:pPr>
              <w:pStyle w:val="24"/>
              <w:jc w:val="left"/>
            </w:pPr>
            <w:r>
              <w:rPr>
                <w:rFonts w:ascii="Times New Roman" w:hAnsi="Times New Roman" w:eastAsia="微软雅黑"/>
                <w:sz w:val="22"/>
              </w:rPr>
              <w:t>扣除直接成本后的盈利空间</w:t>
            </w:r>
          </w:p>
        </w:tc>
        <w:tc>
          <w:tcPr>
            <w:tcBorders>
              <w:top w:val="single" w:color="E2E8F0" w:sz="6" w:space="0"/>
              <w:left w:val="single" w:color="E2E8F0" w:sz="6" w:space="0"/>
              <w:bottom w:val="single" w:color="E2E8F0" w:sz="6" w:space="0"/>
              <w:right w:val="single" w:color="E2E8F0" w:sz="6" w:space="0"/>
            </w:tcBorders>
          </w:tcPr>
          <w:p w14:paraId="17726929">
            <w:pPr>
              <w:pStyle w:val="24"/>
              <w:jc w:val="left"/>
            </w:pPr>
            <w:r>
              <w:rPr>
                <w:rFonts w:ascii="Times New Roman" w:hAnsi="Times New Roman" w:eastAsia="微软雅黑"/>
                <w:sz w:val="22"/>
              </w:rPr>
              <w:t>评估产品定价能力和直接成本控制</w:t>
            </w:r>
          </w:p>
        </w:tc>
      </w:tr>
      <w:tr w14:paraId="1E8343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307E835">
            <w:pPr>
              <w:pStyle w:val="24"/>
              <w:jc w:val="left"/>
            </w:pPr>
            <w:r>
              <w:rPr>
                <w:rFonts w:ascii="Times New Roman" w:hAnsi="Times New Roman" w:eastAsia="微软雅黑"/>
                <w:sz w:val="22"/>
              </w:rPr>
              <w:t>营业利润率</w:t>
            </w:r>
          </w:p>
        </w:tc>
        <w:tc>
          <w:tcPr>
            <w:tcBorders>
              <w:top w:val="single" w:color="E2E8F0" w:sz="6" w:space="0"/>
              <w:left w:val="single" w:color="E2E8F0" w:sz="6" w:space="0"/>
              <w:bottom w:val="single" w:color="E2E8F0" w:sz="6" w:space="0"/>
              <w:right w:val="single" w:color="E2E8F0" w:sz="6" w:space="0"/>
            </w:tcBorders>
            <w:shd w:val="clear" w:color="auto" w:fill="F8FAFC"/>
          </w:tcPr>
          <w:p w14:paraId="15D4C319">
            <w:pPr>
              <w:pStyle w:val="24"/>
              <w:jc w:val="left"/>
            </w:pPr>
            <w:r>
              <w:rPr>
                <w:rFonts w:ascii="Times New Roman" w:hAnsi="Times New Roman" w:eastAsia="微软雅黑"/>
                <w:sz w:val="22"/>
              </w:rPr>
              <w:t>营业利润 / 营业收入</w:t>
            </w:r>
          </w:p>
        </w:tc>
        <w:tc>
          <w:tcPr>
            <w:tcBorders>
              <w:top w:val="single" w:color="E2E8F0" w:sz="6" w:space="0"/>
              <w:left w:val="single" w:color="E2E8F0" w:sz="6" w:space="0"/>
              <w:bottom w:val="single" w:color="E2E8F0" w:sz="6" w:space="0"/>
              <w:right w:val="single" w:color="E2E8F0" w:sz="6" w:space="0"/>
            </w:tcBorders>
            <w:shd w:val="clear" w:color="auto" w:fill="F8FAFC"/>
          </w:tcPr>
          <w:p w14:paraId="72D295F8">
            <w:pPr>
              <w:pStyle w:val="24"/>
              <w:jc w:val="left"/>
            </w:pPr>
            <w:r>
              <w:rPr>
                <w:rFonts w:ascii="Times New Roman" w:hAnsi="Times New Roman" w:eastAsia="微软雅黑"/>
                <w:sz w:val="22"/>
              </w:rPr>
              <w:t>扣除所有经营费用后的盈利能力</w:t>
            </w:r>
          </w:p>
        </w:tc>
        <w:tc>
          <w:tcPr>
            <w:tcBorders>
              <w:top w:val="single" w:color="E2E8F0" w:sz="6" w:space="0"/>
              <w:left w:val="single" w:color="E2E8F0" w:sz="6" w:space="0"/>
              <w:bottom w:val="single" w:color="E2E8F0" w:sz="6" w:space="0"/>
              <w:right w:val="single" w:color="E2E8F0" w:sz="6" w:space="0"/>
            </w:tcBorders>
            <w:shd w:val="clear" w:color="auto" w:fill="F8FAFC"/>
          </w:tcPr>
          <w:p w14:paraId="70D6A355">
            <w:pPr>
              <w:pStyle w:val="24"/>
              <w:jc w:val="left"/>
            </w:pPr>
            <w:r>
              <w:rPr>
                <w:rFonts w:ascii="Times New Roman" w:hAnsi="Times New Roman" w:eastAsia="微软雅黑"/>
                <w:sz w:val="22"/>
              </w:rPr>
              <w:t>评估整体经营效率</w:t>
            </w:r>
          </w:p>
        </w:tc>
      </w:tr>
      <w:tr w14:paraId="48683DE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0549BBB">
            <w:pPr>
              <w:pStyle w:val="24"/>
              <w:jc w:val="left"/>
            </w:pPr>
            <w:r>
              <w:rPr>
                <w:rFonts w:ascii="Times New Roman" w:hAnsi="Times New Roman" w:eastAsia="微软雅黑"/>
                <w:sz w:val="22"/>
              </w:rPr>
              <w:t>净利率</w:t>
            </w:r>
          </w:p>
        </w:tc>
        <w:tc>
          <w:tcPr>
            <w:tcBorders>
              <w:top w:val="single" w:color="E2E8F0" w:sz="6" w:space="0"/>
              <w:left w:val="single" w:color="E2E8F0" w:sz="6" w:space="0"/>
              <w:bottom w:val="single" w:color="E2E8F0" w:sz="6" w:space="0"/>
              <w:right w:val="single" w:color="E2E8F0" w:sz="6" w:space="0"/>
            </w:tcBorders>
          </w:tcPr>
          <w:p w14:paraId="3E575361">
            <w:pPr>
              <w:pStyle w:val="24"/>
              <w:jc w:val="left"/>
            </w:pPr>
            <w:r>
              <w:rPr>
                <w:rFonts w:ascii="Times New Roman" w:hAnsi="Times New Roman" w:eastAsia="微软雅黑"/>
                <w:sz w:val="22"/>
              </w:rPr>
              <w:t>净利润 / 营业收入</w:t>
            </w:r>
          </w:p>
        </w:tc>
        <w:tc>
          <w:tcPr>
            <w:tcBorders>
              <w:top w:val="single" w:color="E2E8F0" w:sz="6" w:space="0"/>
              <w:left w:val="single" w:color="E2E8F0" w:sz="6" w:space="0"/>
              <w:bottom w:val="single" w:color="E2E8F0" w:sz="6" w:space="0"/>
              <w:right w:val="single" w:color="E2E8F0" w:sz="6" w:space="0"/>
            </w:tcBorders>
          </w:tcPr>
          <w:p w14:paraId="20B7503D">
            <w:pPr>
              <w:pStyle w:val="24"/>
              <w:jc w:val="left"/>
            </w:pPr>
            <w:r>
              <w:rPr>
                <w:rFonts w:ascii="Times New Roman" w:hAnsi="Times New Roman" w:eastAsia="微软雅黑"/>
                <w:sz w:val="22"/>
              </w:rPr>
              <w:t>扣除所有成本、税费后最终的盈利</w:t>
            </w:r>
          </w:p>
        </w:tc>
        <w:tc>
          <w:tcPr>
            <w:tcBorders>
              <w:top w:val="single" w:color="E2E8F0" w:sz="6" w:space="0"/>
              <w:left w:val="single" w:color="E2E8F0" w:sz="6" w:space="0"/>
              <w:bottom w:val="single" w:color="E2E8F0" w:sz="6" w:space="0"/>
              <w:right w:val="single" w:color="E2E8F0" w:sz="6" w:space="0"/>
            </w:tcBorders>
          </w:tcPr>
          <w:p w14:paraId="2DFD1079">
            <w:pPr>
              <w:pStyle w:val="24"/>
              <w:jc w:val="left"/>
            </w:pPr>
            <w:r>
              <w:rPr>
                <w:rFonts w:ascii="Times New Roman" w:hAnsi="Times New Roman" w:eastAsia="微软雅黑"/>
                <w:sz w:val="22"/>
              </w:rPr>
              <w:t>综合评估赚钱能力</w:t>
            </w:r>
          </w:p>
        </w:tc>
      </w:tr>
    </w:tbl>
    <w:p w14:paraId="6AFB98D5">
      <w:pPr>
        <w:pStyle w:val="3"/>
      </w:pPr>
      <w:r>
        <w:rPr>
          <w:rFonts w:ascii="Times New Roman" w:hAnsi="Times New Roman" w:eastAsia="微软雅黑"/>
          <w:sz w:val="24"/>
        </w:rPr>
        <w:t>毛利率和净利率之间的差距，反映了期间费用（管理费用、销售费用、财务费用）的规模。如果毛利率很高但净利率很低，说明期间费用消耗了大量的毛利，需要检查是否存在费用控制问题。</w:t>
      </w:r>
    </w:p>
    <w:bookmarkEnd w:id="31"/>
    <w:p w14:paraId="78EA7356">
      <w:pPr>
        <w:pStyle w:val="5"/>
      </w:pPr>
      <w:bookmarkStart w:id="32" w:name="主要回报率指标"/>
      <w:r>
        <w:rPr>
          <w:rFonts w:ascii="Times New Roman" w:hAnsi="Times New Roman" w:eastAsia="微软雅黑"/>
          <w:sz w:val="24"/>
        </w:rPr>
        <w:t>3. 主要回报率指标</w:t>
      </w:r>
    </w:p>
    <w:p w14:paraId="0C3FE241">
      <w:pPr>
        <w:pStyle w:val="23"/>
      </w:pPr>
      <w:r>
        <w:rPr>
          <w:rFonts w:ascii="Times New Roman" w:hAnsi="Times New Roman" w:eastAsia="微软雅黑"/>
          <w:sz w:val="24"/>
        </w:rPr>
        <w:t>回报率指标从投资者的视角衡量盈利能力，见表7-13。</w:t>
      </w:r>
    </w:p>
    <w:p w14:paraId="18610718">
      <w:pPr>
        <w:jc w:val="center"/>
        <w:pStyle w:val="3"/>
      </w:pPr>
      <w:r>
        <w:rPr>
          <w:rFonts w:ascii="Times New Roman" w:hAnsi="Times New Roman" w:eastAsia="微软雅黑"/>
          <w:b/>
          <w:bCs/>
          <w:sz w:val="24"/>
        </w:rPr>
        <w:t>表7-13 主要回报率指标</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85"/>
        <w:gridCol w:w="2475"/>
        <w:gridCol w:w="1485"/>
        <w:gridCol w:w="2475"/>
      </w:tblGrid>
      <w:tr w14:paraId="72A423F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46DEEBF">
            <w:pPr>
              <w:pStyle w:val="24"/>
              <w:jc w:val="left"/>
            </w:pPr>
            <w:r>
              <w:rPr>
                <w:rFonts w:ascii="Times New Roman" w:hAnsi="Times New Roman" w:eastAsia="微软雅黑"/>
                <w:b/>
                <w:color w:val="1E3A8A"/>
                <w:sz w:val="22"/>
              </w:rPr>
              <w:t>指标</w:t>
            </w:r>
          </w:p>
        </w:tc>
        <w:tc>
          <w:tcPr>
            <w:tcBorders>
              <w:top w:val="single" w:color="E2E8F0" w:sz="6" w:space="0"/>
              <w:left w:val="single" w:color="E2E8F0" w:sz="6" w:space="0"/>
              <w:bottom w:val="single" w:color="E2E8F0" w:sz="6" w:space="0"/>
              <w:right w:val="single" w:color="E2E8F0" w:sz="6" w:space="0"/>
            </w:tcBorders>
            <w:shd w:val="clear" w:color="auto" w:fill="EEF4FF"/>
          </w:tcPr>
          <w:p w14:paraId="288228B1">
            <w:pPr>
              <w:pStyle w:val="24"/>
              <w:jc w:val="left"/>
            </w:pPr>
            <w:r>
              <w:rPr>
                <w:rFonts w:ascii="Times New Roman" w:hAnsi="Times New Roman" w:eastAsia="微软雅黑"/>
                <w:b/>
                <w:color w:val="1E3A8A"/>
                <w:sz w:val="22"/>
              </w:rPr>
              <w:t>计算公式</w:t>
            </w:r>
          </w:p>
        </w:tc>
        <w:tc>
          <w:tcPr>
            <w:tcBorders>
              <w:top w:val="single" w:color="E2E8F0" w:sz="6" w:space="0"/>
              <w:left w:val="single" w:color="E2E8F0" w:sz="6" w:space="0"/>
              <w:bottom w:val="single" w:color="E2E8F0" w:sz="6" w:space="0"/>
              <w:right w:val="single" w:color="E2E8F0" w:sz="6" w:space="0"/>
            </w:tcBorders>
            <w:shd w:val="clear" w:color="auto" w:fill="EEF4FF"/>
          </w:tcPr>
          <w:p w14:paraId="133F1E27">
            <w:pPr>
              <w:pStyle w:val="24"/>
              <w:jc w:val="left"/>
            </w:pPr>
            <w:r>
              <w:rPr>
                <w:rFonts w:ascii="Times New Roman" w:hAnsi="Times New Roman" w:eastAsia="微软雅黑"/>
                <w:b/>
                <w:color w:val="1E3A8A"/>
                <w:sz w:val="22"/>
              </w:rPr>
              <w:t>含义</w:t>
            </w:r>
          </w:p>
        </w:tc>
        <w:tc>
          <w:tcPr>
            <w:tcBorders>
              <w:top w:val="single" w:color="E2E8F0" w:sz="6" w:space="0"/>
              <w:left w:val="single" w:color="E2E8F0" w:sz="6" w:space="0"/>
              <w:bottom w:val="single" w:color="E2E8F0" w:sz="6" w:space="0"/>
              <w:right w:val="single" w:color="E2E8F0" w:sz="6" w:space="0"/>
            </w:tcBorders>
            <w:shd w:val="clear" w:color="auto" w:fill="EEF4FF"/>
          </w:tcPr>
          <w:p w14:paraId="2044D171">
            <w:pPr>
              <w:pStyle w:val="24"/>
              <w:jc w:val="left"/>
            </w:pPr>
            <w:r>
              <w:rPr>
                <w:rFonts w:ascii="Times New Roman" w:hAnsi="Times New Roman" w:eastAsia="微软雅黑"/>
                <w:b/>
                <w:color w:val="1E3A8A"/>
                <w:sz w:val="22"/>
              </w:rPr>
              <w:t>分析价值</w:t>
            </w:r>
          </w:p>
        </w:tc>
      </w:tr>
      <w:tr w14:paraId="1B48E87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A199760">
            <w:pPr>
              <w:pStyle w:val="24"/>
              <w:jc w:val="left"/>
            </w:pPr>
            <w:r>
              <w:rPr>
                <w:rFonts w:ascii="Times New Roman" w:hAnsi="Times New Roman" w:eastAsia="微软雅黑"/>
                <w:sz w:val="22"/>
              </w:rPr>
              <w:t>总资产回报率（ROA）</w:t>
            </w:r>
          </w:p>
        </w:tc>
        <w:tc>
          <w:tcPr>
            <w:tcBorders>
              <w:top w:val="single" w:color="E2E8F0" w:sz="6" w:space="0"/>
              <w:left w:val="single" w:color="E2E8F0" w:sz="6" w:space="0"/>
              <w:bottom w:val="single" w:color="E2E8F0" w:sz="6" w:space="0"/>
              <w:right w:val="single" w:color="E2E8F0" w:sz="6" w:space="0"/>
            </w:tcBorders>
          </w:tcPr>
          <w:p w14:paraId="2A2987F1">
            <w:pPr>
              <w:pStyle w:val="24"/>
              <w:jc w:val="left"/>
            </w:pPr>
            <w:r>
              <w:rPr>
                <w:rFonts w:ascii="Times New Roman" w:hAnsi="Times New Roman" w:eastAsia="微软雅黑"/>
                <w:sz w:val="22"/>
              </w:rPr>
              <w:t>净利润 / 总资产平均值</w:t>
            </w:r>
          </w:p>
        </w:tc>
        <w:tc>
          <w:tcPr>
            <w:tcBorders>
              <w:top w:val="single" w:color="E2E8F0" w:sz="6" w:space="0"/>
              <w:left w:val="single" w:color="E2E8F0" w:sz="6" w:space="0"/>
              <w:bottom w:val="single" w:color="E2E8F0" w:sz="6" w:space="0"/>
              <w:right w:val="single" w:color="E2E8F0" w:sz="6" w:space="0"/>
            </w:tcBorders>
          </w:tcPr>
          <w:p w14:paraId="348B1D40">
            <w:pPr>
              <w:pStyle w:val="24"/>
              <w:jc w:val="left"/>
            </w:pPr>
            <w:r>
              <w:rPr>
                <w:rFonts w:ascii="Times New Roman" w:hAnsi="Times New Roman" w:eastAsia="微软雅黑"/>
                <w:sz w:val="22"/>
              </w:rPr>
              <w:t>每1元资产创造多少净利润</w:t>
            </w:r>
          </w:p>
        </w:tc>
        <w:tc>
          <w:tcPr>
            <w:tcBorders>
              <w:top w:val="single" w:color="E2E8F0" w:sz="6" w:space="0"/>
              <w:left w:val="single" w:color="E2E8F0" w:sz="6" w:space="0"/>
              <w:bottom w:val="single" w:color="E2E8F0" w:sz="6" w:space="0"/>
              <w:right w:val="single" w:color="E2E8F0" w:sz="6" w:space="0"/>
            </w:tcBorders>
          </w:tcPr>
          <w:p w14:paraId="76C9C9AF">
            <w:pPr>
              <w:pStyle w:val="24"/>
              <w:jc w:val="left"/>
            </w:pPr>
            <w:r>
              <w:rPr>
                <w:rFonts w:ascii="Times New Roman" w:hAnsi="Times New Roman" w:eastAsia="微软雅黑"/>
                <w:sz w:val="22"/>
              </w:rPr>
              <w:t>衡量资产的使用效率，不受财务杠杆影响</w:t>
            </w:r>
          </w:p>
        </w:tc>
      </w:tr>
      <w:tr w14:paraId="1FD1D1A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F90330F">
            <w:pPr>
              <w:pStyle w:val="24"/>
              <w:jc w:val="left"/>
            </w:pPr>
            <w:r>
              <w:rPr>
                <w:rFonts w:ascii="Times New Roman" w:hAnsi="Times New Roman" w:eastAsia="微软雅黑"/>
                <w:sz w:val="22"/>
              </w:rPr>
              <w:t>净资产收益率（ROE）</w:t>
            </w:r>
          </w:p>
        </w:tc>
        <w:tc>
          <w:tcPr>
            <w:tcBorders>
              <w:top w:val="single" w:color="E2E8F0" w:sz="6" w:space="0"/>
              <w:left w:val="single" w:color="E2E8F0" w:sz="6" w:space="0"/>
              <w:bottom w:val="single" w:color="E2E8F0" w:sz="6" w:space="0"/>
              <w:right w:val="single" w:color="E2E8F0" w:sz="6" w:space="0"/>
            </w:tcBorders>
            <w:shd w:val="clear" w:color="auto" w:fill="F8FAFC"/>
          </w:tcPr>
          <w:p w14:paraId="63EAF79D">
            <w:pPr>
              <w:pStyle w:val="24"/>
              <w:jc w:val="left"/>
            </w:pPr>
            <w:r>
              <w:rPr>
                <w:rFonts w:ascii="Times New Roman" w:hAnsi="Times New Roman" w:eastAsia="微软雅黑"/>
                <w:sz w:val="22"/>
              </w:rPr>
              <w:t>净利润 / 净资产平均值</w:t>
            </w:r>
          </w:p>
        </w:tc>
        <w:tc>
          <w:tcPr>
            <w:tcBorders>
              <w:top w:val="single" w:color="E2E8F0" w:sz="6" w:space="0"/>
              <w:left w:val="single" w:color="E2E8F0" w:sz="6" w:space="0"/>
              <w:bottom w:val="single" w:color="E2E8F0" w:sz="6" w:space="0"/>
              <w:right w:val="single" w:color="E2E8F0" w:sz="6" w:space="0"/>
            </w:tcBorders>
            <w:shd w:val="clear" w:color="auto" w:fill="F8FAFC"/>
          </w:tcPr>
          <w:p w14:paraId="62A04E77">
            <w:pPr>
              <w:pStyle w:val="24"/>
              <w:jc w:val="left"/>
            </w:pPr>
            <w:r>
              <w:rPr>
                <w:rFonts w:ascii="Times New Roman" w:hAnsi="Times New Roman" w:eastAsia="微软雅黑"/>
                <w:sz w:val="22"/>
              </w:rPr>
              <w:t>股东每1元投入创造多少净利润</w:t>
            </w:r>
          </w:p>
        </w:tc>
        <w:tc>
          <w:tcPr>
            <w:tcBorders>
              <w:top w:val="single" w:color="E2E8F0" w:sz="6" w:space="0"/>
              <w:left w:val="single" w:color="E2E8F0" w:sz="6" w:space="0"/>
              <w:bottom w:val="single" w:color="E2E8F0" w:sz="6" w:space="0"/>
              <w:right w:val="single" w:color="E2E8F0" w:sz="6" w:space="0"/>
            </w:tcBorders>
            <w:shd w:val="clear" w:color="auto" w:fill="F8FAFC"/>
          </w:tcPr>
          <w:p w14:paraId="48A4E927">
            <w:pPr>
              <w:pStyle w:val="24"/>
              <w:jc w:val="left"/>
            </w:pPr>
            <w:r>
              <w:rPr>
                <w:rFonts w:ascii="Times New Roman" w:hAnsi="Times New Roman" w:eastAsia="微软雅黑"/>
                <w:sz w:val="22"/>
              </w:rPr>
              <w:t>股东最关心的盈利指标，受杠杆放大</w:t>
            </w:r>
          </w:p>
        </w:tc>
      </w:tr>
    </w:tbl>
    <w:p w14:paraId="662F6E0B">
      <w:pPr>
        <w:pStyle w:val="3"/>
      </w:pPr>
      <w:r>
        <w:rPr>
          <w:rFonts w:ascii="Times New Roman" w:hAnsi="Times New Roman" w:eastAsia="微软雅黑"/>
          <w:sz w:val="24"/>
        </w:rPr>
        <w:t>ROA和ROE的差异，体现了财务杠杆的效应：当ROA高于借款利率时，使用负债可以放大ROE，即“好的杠杆”；当ROA低于借款利率时，使用负债会压低ROE，即“坏的杠杆”。</w:t>
      </w:r>
    </w:p>
    <w:p w14:paraId="291ABFB0">
      <w:pPr>
        <w:pStyle w:val="3"/>
      </w:pPr>
      <w:r>
        <w:rPr>
          <w:rFonts w:ascii="Times New Roman" w:hAnsi="Times New Roman" w:eastAsia="微软雅黑"/>
          <w:sz w:val="24"/>
        </w:rPr>
        <w:t>继续用两家公司的数据计算盈利能力指标，见表7-14。</w:t>
      </w:r>
    </w:p>
    <w:p w14:paraId="101BD843">
      <w:pPr>
        <w:jc w:val="center"/>
        <w:pStyle w:val="3"/>
      </w:pPr>
      <w:r>
        <w:rPr>
          <w:rFonts w:ascii="Times New Roman" w:hAnsi="Times New Roman" w:eastAsia="微软雅黑"/>
          <w:b/>
          <w:bCs/>
          <w:sz w:val="24"/>
        </w:rPr>
        <w:t>表7-14 A公司与B公司盈利能力指标计算</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84"/>
        <w:gridCol w:w="1584"/>
        <w:gridCol w:w="1584"/>
        <w:gridCol w:w="1584"/>
        <w:gridCol w:w="1584"/>
      </w:tblGrid>
      <w:tr w14:paraId="4EB8E6D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C79C95F">
            <w:pPr>
              <w:pStyle w:val="24"/>
              <w:jc w:val="left"/>
            </w:pPr>
            <w:r>
              <w:rPr>
                <w:rFonts w:ascii="Times New Roman" w:hAnsi="Times New Roman" w:eastAsia="微软雅黑"/>
                <w:b/>
                <w:color w:val="1E3A8A"/>
                <w:sz w:val="22"/>
              </w:rPr>
              <w:t>指标</w:t>
            </w:r>
          </w:p>
        </w:tc>
        <w:tc>
          <w:tcPr>
            <w:tcBorders>
              <w:top w:val="single" w:color="E2E8F0" w:sz="6" w:space="0"/>
              <w:left w:val="single" w:color="E2E8F0" w:sz="6" w:space="0"/>
              <w:bottom w:val="single" w:color="E2E8F0" w:sz="6" w:space="0"/>
              <w:right w:val="single" w:color="E2E8F0" w:sz="6" w:space="0"/>
            </w:tcBorders>
            <w:shd w:val="clear" w:color="auto" w:fill="EEF4FF"/>
          </w:tcPr>
          <w:p w14:paraId="6886396A">
            <w:pPr>
              <w:pStyle w:val="24"/>
              <w:jc w:val="left"/>
            </w:pPr>
            <w:r>
              <w:rPr>
                <w:rFonts w:ascii="Times New Roman" w:hAnsi="Times New Roman" w:eastAsia="微软雅黑"/>
                <w:b/>
                <w:color w:val="1E3A8A"/>
                <w:sz w:val="22"/>
              </w:rPr>
              <w:t>A公司计算</w:t>
            </w:r>
          </w:p>
        </w:tc>
        <w:tc>
          <w:tcPr>
            <w:tcBorders>
              <w:top w:val="single" w:color="E2E8F0" w:sz="6" w:space="0"/>
              <w:left w:val="single" w:color="E2E8F0" w:sz="6" w:space="0"/>
              <w:bottom w:val="single" w:color="E2E8F0" w:sz="6" w:space="0"/>
              <w:right w:val="single" w:color="E2E8F0" w:sz="6" w:space="0"/>
            </w:tcBorders>
            <w:shd w:val="clear" w:color="auto" w:fill="EEF4FF"/>
          </w:tcPr>
          <w:p w14:paraId="1F0686E9">
            <w:pPr>
              <w:pStyle w:val="24"/>
              <w:jc w:val="left"/>
            </w:pPr>
            <w:r>
              <w:rPr>
                <w:rFonts w:ascii="Times New Roman" w:hAnsi="Times New Roman" w:eastAsia="微软雅黑"/>
                <w:b/>
                <w:color w:val="1E3A8A"/>
                <w:sz w:val="22"/>
              </w:rPr>
              <w:t>A公司结果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187A0F26">
            <w:pPr>
              <w:pStyle w:val="24"/>
              <w:jc w:val="left"/>
            </w:pPr>
            <w:r>
              <w:rPr>
                <w:rFonts w:ascii="Times New Roman" w:hAnsi="Times New Roman" w:eastAsia="微软雅黑"/>
                <w:b/>
                <w:color w:val="1E3A8A"/>
                <w:sz w:val="22"/>
              </w:rPr>
              <w:t>B公司计算</w:t>
            </w:r>
          </w:p>
        </w:tc>
        <w:tc>
          <w:tcPr>
            <w:tcBorders>
              <w:top w:val="single" w:color="E2E8F0" w:sz="6" w:space="0"/>
              <w:left w:val="single" w:color="E2E8F0" w:sz="6" w:space="0"/>
              <w:bottom w:val="single" w:color="E2E8F0" w:sz="6" w:space="0"/>
              <w:right w:val="single" w:color="E2E8F0" w:sz="6" w:space="0"/>
            </w:tcBorders>
            <w:shd w:val="clear" w:color="auto" w:fill="EEF4FF"/>
          </w:tcPr>
          <w:p w14:paraId="4E02928A">
            <w:pPr>
              <w:pStyle w:val="24"/>
              <w:jc w:val="left"/>
            </w:pPr>
            <w:r>
              <w:rPr>
                <w:rFonts w:ascii="Times New Roman" w:hAnsi="Times New Roman" w:eastAsia="微软雅黑"/>
                <w:b/>
                <w:color w:val="1E3A8A"/>
                <w:sz w:val="22"/>
              </w:rPr>
              <w:t>B公司结果</w:t>
            </w:r>
          </w:p>
        </w:tc>
      </w:tr>
      <w:tr w14:paraId="1BF287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FD46923">
            <w:pPr>
              <w:pStyle w:val="24"/>
              <w:jc w:val="left"/>
            </w:pPr>
            <w:r>
              <w:rPr>
                <w:rFonts w:ascii="Times New Roman" w:hAnsi="Times New Roman" w:eastAsia="微软雅黑"/>
                <w:sz w:val="22"/>
              </w:rPr>
              <w:t>净利率</w:t>
            </w:r>
          </w:p>
        </w:tc>
        <w:tc>
          <w:tcPr>
            <w:tcBorders>
              <w:top w:val="single" w:color="E2E8F0" w:sz="6" w:space="0"/>
              <w:left w:val="single" w:color="E2E8F0" w:sz="6" w:space="0"/>
              <w:bottom w:val="single" w:color="E2E8F0" w:sz="6" w:space="0"/>
              <w:right w:val="single" w:color="E2E8F0" w:sz="6" w:space="0"/>
            </w:tcBorders>
          </w:tcPr>
          <w:p w14:paraId="50077FEF">
            <w:pPr>
              <w:pStyle w:val="24"/>
              <w:jc w:val="left"/>
            </w:pPr>
            <w:r>
              <w:rPr>
                <w:rFonts w:ascii="Times New Roman" w:hAnsi="Times New Roman" w:eastAsia="微软雅黑"/>
                <w:sz w:val="22"/>
              </w:rPr>
              <w:t>280/2860</w:t>
            </w:r>
          </w:p>
        </w:tc>
        <w:tc>
          <w:tcPr>
            <w:tcBorders>
              <w:top w:val="single" w:color="E2E8F0" w:sz="6" w:space="0"/>
              <w:left w:val="single" w:color="E2E8F0" w:sz="6" w:space="0"/>
              <w:bottom w:val="single" w:color="E2E8F0" w:sz="6" w:space="0"/>
              <w:right w:val="single" w:color="E2E8F0" w:sz="6" w:space="0"/>
            </w:tcBorders>
          </w:tcPr>
          <w:p w14:paraId="7ECD1102">
            <w:pPr>
              <w:pStyle w:val="24"/>
              <w:jc w:val="left"/>
            </w:pPr>
            <w:r>
              <w:rPr>
                <w:rFonts w:ascii="Times New Roman" w:hAnsi="Times New Roman" w:eastAsia="微软雅黑"/>
                <w:sz w:val="22"/>
              </w:rPr>
              <w:t>9.8%</w:t>
            </w:r>
          </w:p>
        </w:tc>
        <w:tc>
          <w:tcPr>
            <w:tcBorders>
              <w:top w:val="single" w:color="E2E8F0" w:sz="6" w:space="0"/>
              <w:left w:val="single" w:color="E2E8F0" w:sz="6" w:space="0"/>
              <w:bottom w:val="single" w:color="E2E8F0" w:sz="6" w:space="0"/>
              <w:right w:val="single" w:color="E2E8F0" w:sz="6" w:space="0"/>
            </w:tcBorders>
          </w:tcPr>
          <w:p w14:paraId="63537CF8">
            <w:pPr>
              <w:pStyle w:val="24"/>
              <w:jc w:val="left"/>
            </w:pPr>
            <w:r>
              <w:rPr>
                <w:rFonts w:ascii="Times New Roman" w:hAnsi="Times New Roman" w:eastAsia="微软雅黑"/>
                <w:sz w:val="22"/>
              </w:rPr>
              <w:t>320/3420</w:t>
            </w:r>
          </w:p>
        </w:tc>
        <w:tc>
          <w:tcPr>
            <w:tcBorders>
              <w:top w:val="single" w:color="E2E8F0" w:sz="6" w:space="0"/>
              <w:left w:val="single" w:color="E2E8F0" w:sz="6" w:space="0"/>
              <w:bottom w:val="single" w:color="E2E8F0" w:sz="6" w:space="0"/>
              <w:right w:val="single" w:color="E2E8F0" w:sz="6" w:space="0"/>
            </w:tcBorders>
          </w:tcPr>
          <w:p w14:paraId="76B297A0">
            <w:pPr>
              <w:pStyle w:val="24"/>
              <w:jc w:val="left"/>
            </w:pPr>
            <w:r>
              <w:rPr>
                <w:rFonts w:ascii="Times New Roman" w:hAnsi="Times New Roman" w:eastAsia="微软雅黑"/>
                <w:sz w:val="22"/>
              </w:rPr>
              <w:t>9.4%</w:t>
            </w:r>
          </w:p>
        </w:tc>
      </w:tr>
      <w:tr w14:paraId="7AF0BBD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393DD0B">
            <w:pPr>
              <w:pStyle w:val="24"/>
              <w:jc w:val="left"/>
            </w:pPr>
            <w:r>
              <w:rPr>
                <w:rFonts w:ascii="Times New Roman" w:hAnsi="Times New Roman" w:eastAsia="微软雅黑"/>
                <w:sz w:val="22"/>
              </w:rPr>
              <w:t>ROA</w:t>
            </w:r>
          </w:p>
        </w:tc>
        <w:tc>
          <w:tcPr>
            <w:tcBorders>
              <w:top w:val="single" w:color="E2E8F0" w:sz="6" w:space="0"/>
              <w:left w:val="single" w:color="E2E8F0" w:sz="6" w:space="0"/>
              <w:bottom w:val="single" w:color="E2E8F0" w:sz="6" w:space="0"/>
              <w:right w:val="single" w:color="E2E8F0" w:sz="6" w:space="0"/>
            </w:tcBorders>
            <w:shd w:val="clear" w:color="auto" w:fill="F8FAFC"/>
          </w:tcPr>
          <w:p w14:paraId="23A34343">
            <w:pPr>
              <w:pStyle w:val="24"/>
              <w:jc w:val="left"/>
            </w:pPr>
            <w:r>
              <w:rPr>
                <w:rFonts w:ascii="Times New Roman" w:hAnsi="Times New Roman" w:eastAsia="微软雅黑"/>
                <w:sz w:val="22"/>
              </w:rPr>
              <w:t>280/1850</w:t>
            </w:r>
          </w:p>
        </w:tc>
        <w:tc>
          <w:tcPr>
            <w:tcBorders>
              <w:top w:val="single" w:color="E2E8F0" w:sz="6" w:space="0"/>
              <w:left w:val="single" w:color="E2E8F0" w:sz="6" w:space="0"/>
              <w:bottom w:val="single" w:color="E2E8F0" w:sz="6" w:space="0"/>
              <w:right w:val="single" w:color="E2E8F0" w:sz="6" w:space="0"/>
            </w:tcBorders>
            <w:shd w:val="clear" w:color="auto" w:fill="F8FAFC"/>
          </w:tcPr>
          <w:p w14:paraId="76216488">
            <w:pPr>
              <w:pStyle w:val="24"/>
              <w:jc w:val="left"/>
            </w:pPr>
            <w:r>
              <w:rPr>
                <w:rFonts w:ascii="Times New Roman" w:hAnsi="Times New Roman" w:eastAsia="微软雅黑"/>
                <w:sz w:val="22"/>
              </w:rPr>
              <w:t>15.1%</w:t>
            </w:r>
          </w:p>
        </w:tc>
        <w:tc>
          <w:tcPr>
            <w:tcBorders>
              <w:top w:val="single" w:color="E2E8F0" w:sz="6" w:space="0"/>
              <w:left w:val="single" w:color="E2E8F0" w:sz="6" w:space="0"/>
              <w:bottom w:val="single" w:color="E2E8F0" w:sz="6" w:space="0"/>
              <w:right w:val="single" w:color="E2E8F0" w:sz="6" w:space="0"/>
            </w:tcBorders>
            <w:shd w:val="clear" w:color="auto" w:fill="F8FAFC"/>
          </w:tcPr>
          <w:p w14:paraId="767CDEB7">
            <w:pPr>
              <w:pStyle w:val="24"/>
              <w:jc w:val="left"/>
            </w:pPr>
            <w:r>
              <w:rPr>
                <w:rFonts w:ascii="Times New Roman" w:hAnsi="Times New Roman" w:eastAsia="微软雅黑"/>
                <w:sz w:val="22"/>
              </w:rPr>
              <w:t>320/2680</w:t>
            </w:r>
          </w:p>
        </w:tc>
        <w:tc>
          <w:tcPr>
            <w:tcBorders>
              <w:top w:val="single" w:color="E2E8F0" w:sz="6" w:space="0"/>
              <w:left w:val="single" w:color="E2E8F0" w:sz="6" w:space="0"/>
              <w:bottom w:val="single" w:color="E2E8F0" w:sz="6" w:space="0"/>
              <w:right w:val="single" w:color="E2E8F0" w:sz="6" w:space="0"/>
            </w:tcBorders>
            <w:shd w:val="clear" w:color="auto" w:fill="F8FAFC"/>
          </w:tcPr>
          <w:p w14:paraId="5EBFD5AA">
            <w:pPr>
              <w:pStyle w:val="24"/>
              <w:jc w:val="left"/>
            </w:pPr>
            <w:r>
              <w:rPr>
                <w:rFonts w:ascii="Times New Roman" w:hAnsi="Times New Roman" w:eastAsia="微软雅黑"/>
                <w:sz w:val="22"/>
              </w:rPr>
              <w:t>11.9%</w:t>
            </w:r>
          </w:p>
        </w:tc>
      </w:tr>
      <w:tr w14:paraId="4078AD9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49B3FFC">
            <w:pPr>
              <w:pStyle w:val="24"/>
              <w:jc w:val="left"/>
            </w:pPr>
            <w:r>
              <w:rPr>
                <w:rFonts w:ascii="Times New Roman" w:hAnsi="Times New Roman" w:eastAsia="微软雅黑"/>
                <w:sz w:val="22"/>
              </w:rPr>
              <w:t>ROE</w:t>
            </w:r>
          </w:p>
        </w:tc>
        <w:tc>
          <w:tcPr>
            <w:tcBorders>
              <w:top w:val="single" w:color="E2E8F0" w:sz="6" w:space="0"/>
              <w:left w:val="single" w:color="E2E8F0" w:sz="6" w:space="0"/>
              <w:bottom w:val="single" w:color="E2E8F0" w:sz="6" w:space="0"/>
              <w:right w:val="single" w:color="E2E8F0" w:sz="6" w:space="0"/>
            </w:tcBorders>
          </w:tcPr>
          <w:p w14:paraId="6C2FA257">
            <w:pPr>
              <w:pStyle w:val="24"/>
              <w:jc w:val="left"/>
            </w:pPr>
            <w:r>
              <w:rPr>
                <w:rFonts w:ascii="Times New Roman" w:hAnsi="Times New Roman" w:eastAsia="微软雅黑"/>
                <w:sz w:val="22"/>
              </w:rPr>
              <w:t>280/1130</w:t>
            </w:r>
          </w:p>
        </w:tc>
        <w:tc>
          <w:tcPr>
            <w:tcBorders>
              <w:top w:val="single" w:color="E2E8F0" w:sz="6" w:space="0"/>
              <w:left w:val="single" w:color="E2E8F0" w:sz="6" w:space="0"/>
              <w:bottom w:val="single" w:color="E2E8F0" w:sz="6" w:space="0"/>
              <w:right w:val="single" w:color="E2E8F0" w:sz="6" w:space="0"/>
            </w:tcBorders>
          </w:tcPr>
          <w:p w14:paraId="284CCB5D">
            <w:pPr>
              <w:pStyle w:val="24"/>
              <w:jc w:val="left"/>
            </w:pPr>
            <w:r>
              <w:rPr>
                <w:rFonts w:ascii="Times New Roman" w:hAnsi="Times New Roman" w:eastAsia="微软雅黑"/>
                <w:sz w:val="22"/>
              </w:rPr>
              <w:t>24.8%</w:t>
            </w:r>
          </w:p>
        </w:tc>
        <w:tc>
          <w:tcPr>
            <w:tcBorders>
              <w:top w:val="single" w:color="E2E8F0" w:sz="6" w:space="0"/>
              <w:left w:val="single" w:color="E2E8F0" w:sz="6" w:space="0"/>
              <w:bottom w:val="single" w:color="E2E8F0" w:sz="6" w:space="0"/>
              <w:right w:val="single" w:color="E2E8F0" w:sz="6" w:space="0"/>
            </w:tcBorders>
          </w:tcPr>
          <w:p w14:paraId="2DF10F09">
            <w:pPr>
              <w:pStyle w:val="24"/>
              <w:jc w:val="left"/>
            </w:pPr>
            <w:r>
              <w:rPr>
                <w:rFonts w:ascii="Times New Roman" w:hAnsi="Times New Roman" w:eastAsia="微软雅黑"/>
                <w:sz w:val="22"/>
              </w:rPr>
              <w:t>320/1000</w:t>
            </w:r>
          </w:p>
        </w:tc>
        <w:tc>
          <w:tcPr>
            <w:tcBorders>
              <w:top w:val="single" w:color="E2E8F0" w:sz="6" w:space="0"/>
              <w:left w:val="single" w:color="E2E8F0" w:sz="6" w:space="0"/>
              <w:bottom w:val="single" w:color="E2E8F0" w:sz="6" w:space="0"/>
              <w:right w:val="single" w:color="E2E8F0" w:sz="6" w:space="0"/>
            </w:tcBorders>
          </w:tcPr>
          <w:p w14:paraId="4B2A3ABA">
            <w:pPr>
              <w:pStyle w:val="24"/>
              <w:jc w:val="left"/>
            </w:pPr>
            <w:r>
              <w:rPr>
                <w:rFonts w:ascii="Times New Roman" w:hAnsi="Times New Roman" w:eastAsia="微软雅黑"/>
                <w:sz w:val="22"/>
              </w:rPr>
              <w:t>32.0%</w:t>
            </w:r>
          </w:p>
        </w:tc>
      </w:tr>
    </w:tbl>
    <w:p w14:paraId="39AB2916">
      <w:pPr>
        <w:pStyle w:val="3"/>
      </w:pPr>
      <w:r>
        <w:rPr>
          <w:rFonts w:ascii="Times New Roman" w:hAnsi="Times New Roman" w:eastAsia="微软雅黑"/>
          <w:sz w:val="24"/>
        </w:rPr>
        <w:t>这组数据揭示了一个有趣的现象：B公司的ROE（32%）远高于A公司（24.8%），看起来股东回报更好。但这主要是B公司高负债杠杆的结果——B公司的净利率（9.4%）和ROA（11.9%）都低于A公司，但因为借了更多的钱，把ROE放大了。对股东来说，B公司的高ROE是伴随着高财务风险的。这就是为什么分析盈利能力时，ROA和ROE要结合偿债能力指标一起看。</w:t>
      </w:r>
    </w:p>
    <w:p w14:paraId="1AE5ED5B">
      <w:r>
        <w:pict>
          <v:rect id="_x0000_i1038" o:spt="1" style="height:1.5pt;width:0pt;" coordsize="21600,21600" o:hr="t" o:hrstd="t" o:hralign="center">
            <v:path/>
            <v:fill focussize="0,0"/>
            <v:stroke/>
            <v:imagedata o:title=""/>
            <o:lock v:ext="edit"/>
            <w10:wrap type="none"/>
            <w10:anchorlock/>
          </v:rect>
        </w:pict>
      </w:r>
    </w:p>
    <w:bookmarkEnd w:id="29"/>
    <w:bookmarkEnd w:id="32"/>
    <w:p w14:paraId="7F07BC15">
      <w:pPr>
        <w:pStyle w:val="4"/>
      </w:pPr>
      <w:bookmarkStart w:id="33" w:name="让ai综合解读经营效率"/>
      <w:r>
        <w:rPr>
          <w:rFonts w:ascii="Times New Roman" w:hAnsi="Times New Roman" w:eastAsia="微软雅黑"/>
          <w:sz w:val="24"/>
        </w:rPr>
        <w:t>7.2.3 让AI综合解读经营效率</w:t>
      </w:r>
    </w:p>
    <w:p w14:paraId="2ED68DB9">
      <w:pPr>
        <w:pStyle w:val="23"/>
      </w:pPr>
      <w:r>
        <w:rPr>
          <w:rFonts w:ascii="Times New Roman" w:hAnsi="Times New Roman" w:eastAsia="微软雅黑"/>
          <w:sz w:val="24"/>
        </w:rPr>
        <w:t>完成了偿债能力、营运能力、盈利能力三类指标的计算之后，如何把这些指标整合成一段有说服力的综合判断，是很多财务人员觉得有难度的事。</w:t>
      </w:r>
    </w:p>
    <w:p w14:paraId="047DA603">
      <w:pPr>
        <w:pStyle w:val="3"/>
      </w:pPr>
      <w:r>
        <w:rPr>
          <w:rFonts w:ascii="Times New Roman" w:hAnsi="Times New Roman" w:eastAsia="微软雅黑"/>
          <w:sz w:val="24"/>
        </w:rPr>
        <w:t>AI在这个环节的价值不是替你做判断，而是帮你把已有的数字和发现组织成一段逻辑清晰、重点突出的分析文字。</w:t>
      </w:r>
    </w:p>
    <w:p w14:paraId="3BEE18E5">
      <w:pPr>
        <w:pStyle w:val="5"/>
      </w:pPr>
      <w:bookmarkStart w:id="34" w:name="给ai的信息要完整"/>
      <w:r>
        <w:rPr>
          <w:rFonts w:ascii="Times New Roman" w:hAnsi="Times New Roman" w:eastAsia="微软雅黑"/>
          <w:sz w:val="24"/>
        </w:rPr>
        <w:t>1. 给AI的信息要完整</w:t>
      </w:r>
    </w:p>
    <w:p w14:paraId="262C069D">
      <w:pPr>
        <w:pStyle w:val="23"/>
      </w:pPr>
      <w:r>
        <w:rPr>
          <w:rFonts w:ascii="Times New Roman" w:hAnsi="Times New Roman" w:eastAsia="微软雅黑"/>
          <w:sz w:val="24"/>
        </w:rPr>
        <w:t>要让AI生成有用的综合解读，必须把三类指标的数值都告诉它，同时告诉它分析目的和受众。不完整的信息会导致AI的解读片面，给出类似“盈利能力良好，建议持续关注流动性”这种没有具体依据的空话。</w:t>
      </w:r>
    </w:p>
    <w:p w14:paraId="0CE68515">
      <w:pPr>
        <w:pStyle w:val="3"/>
      </w:pPr>
      <w:r>
        <w:rPr>
          <w:rFonts w:ascii="Times New Roman" w:hAnsi="Times New Roman" w:eastAsia="微软雅黑"/>
          <w:sz w:val="24"/>
        </w:rPr>
        <w:t>提示词示例：</w:t>
      </w:r>
    </w:p>
    <w:p w14:paraId="5278156D">
      <w:pPr>
        <w:pStyle w:val="13"/>
      </w:pPr>
      <w:r>
        <w:rPr>
          <w:rFonts w:ascii="Times New Roman" w:hAnsi="Times New Roman" w:eastAsia="微软雅黑"/>
          <w:sz w:val="24"/>
        </w:rPr>
        <w:t>“以下是对同一行业两家企业（A公司和B公司，均为餐饮连锁）的财务指标汇总，请从偿债能力、营运能力、盈利能力三个维度给出综合对比分析，重点指出每家公司的优势和需要关注的风险点。分析受众是企业投资的信贷审查人员，约300字，以Markdown格式输出。</w:t>
      </w:r>
    </w:p>
    <w:p w14:paraId="61CA1876">
      <w:pPr>
        <w:pStyle w:val="13"/>
      </w:pPr>
      <w:r>
        <w:rPr>
          <w:rFonts w:ascii="Times New Roman" w:hAnsi="Times New Roman" w:eastAsia="微软雅黑"/>
          <w:sz w:val="24"/>
        </w:rPr>
        <w:t>A公司：流动比率2.1，速动比率1.6，资产负债率38.9%，利息保障倍数9.0，应收账款周转天数26天，存货周转天数27天，净利率9.8%，ROA 15.1%，ROE 24.8%</w:t>
      </w:r>
    </w:p>
    <w:p w14:paraId="5C38FA55">
      <w:pPr>
        <w:pStyle w:val="13"/>
      </w:pPr>
      <w:r>
        <w:rPr>
          <w:rFonts w:ascii="Times New Roman" w:hAnsi="Times New Roman" w:eastAsia="微软雅黑"/>
          <w:sz w:val="24"/>
        </w:rPr>
        <w:t>B公司：流动比率0.91，速动比率0.58，资产负债率62.7%，利息保障倍数2.9，应收账款周转天数43天，存货周转天数55天，净利率9.4%，ROA 11.9%，ROE 32.0%”</w:t>
      </w:r>
    </w:p>
    <w:bookmarkEnd w:id="34"/>
    <w:p w14:paraId="5AB0AE2D">
      <w:pPr>
        <w:pStyle w:val="5"/>
      </w:pPr>
      <w:bookmarkStart w:id="35" w:name="检验ai解读的有效性"/>
      <w:r>
        <w:rPr>
          <w:rFonts w:ascii="Times New Roman" w:hAnsi="Times New Roman" w:eastAsia="微软雅黑"/>
          <w:sz w:val="24"/>
        </w:rPr>
        <w:t>2. 检验AI解读的有效性</w:t>
      </w:r>
    </w:p>
    <w:p w14:paraId="00547888">
      <w:pPr>
        <w:pStyle w:val="23"/>
      </w:pPr>
      <w:r>
        <w:rPr>
          <w:rFonts w:ascii="Times New Roman" w:hAnsi="Times New Roman" w:eastAsia="微软雅黑"/>
          <w:sz w:val="24"/>
        </w:rPr>
        <w:t>收到AI的解读后，重点检查两件事：</w:t>
      </w:r>
    </w:p>
    <w:p w14:paraId="2EC87324">
      <w:pPr>
        <w:pStyle w:val="3"/>
      </w:pPr>
      <w:r>
        <w:rPr>
          <w:rFonts w:ascii="Times New Roman" w:hAnsi="Times New Roman" w:eastAsia="微软雅黑"/>
          <w:b/>
          <w:bCs/>
          <w:sz w:val="24"/>
        </w:rPr>
        <w:t>数字引用是否准确</w:t>
      </w:r>
      <w:r>
        <w:rPr>
          <w:rFonts w:ascii="Times New Roman" w:hAnsi="Times New Roman" w:eastAsia="微软雅黑"/>
          <w:sz w:val="24"/>
        </w:rPr>
        <w:t>：AI在生成文字时有时会“记混”数字，特别是两家企业的指标数值容易被混淆。逐句核对每一个被引用的数字，确认与原始数据一致。</w:t>
      </w:r>
    </w:p>
    <w:p w14:paraId="0AF2AA95">
      <w:pPr>
        <w:pStyle w:val="3"/>
      </w:pPr>
      <w:r>
        <w:rPr>
          <w:rFonts w:ascii="Times New Roman" w:hAnsi="Times New Roman" w:eastAsia="微软雅黑"/>
          <w:b/>
          <w:bCs/>
          <w:sz w:val="24"/>
        </w:rPr>
        <w:t>逻辑是否自洽</w:t>
      </w:r>
      <w:r>
        <w:rPr>
          <w:rFonts w:ascii="Times New Roman" w:hAnsi="Times New Roman" w:eastAsia="微软雅黑"/>
          <w:sz w:val="24"/>
        </w:rPr>
        <w:t>：AI的解读段落中，结论和数字之间的推理是否成立。比如AI如果说“B公司盈利能力更强”，但净利率和ROA都低于A公司，这个结论就站不住脚，需要修正。</w:t>
      </w:r>
    </w:p>
    <w:p w14:paraId="0403B8A8">
      <w:r>
        <w:pict>
          <v:rect id="_x0000_i1039" o:spt="1" style="height:1.5pt;width:0pt;" coordsize="21600,21600" o:hr="t" o:hrstd="t" o:hralign="center">
            <v:path/>
            <v:fill focussize="0,0"/>
            <v:stroke/>
            <v:imagedata o:title=""/>
            <o:lock v:ext="edit"/>
            <w10:wrap type="none"/>
            <w10:anchorlock/>
          </v:rect>
        </w:pict>
      </w:r>
    </w:p>
    <w:bookmarkEnd w:id="23"/>
    <w:bookmarkEnd w:id="33"/>
    <w:bookmarkEnd w:id="35"/>
    <w:p>
      <w:pPr>
        <w:pStyle w:val="4"/>
      </w:pPr>
      <w:r>
        <w:rPr>
          <w:rFonts w:ascii="Times New Roman" w:hAnsi="Times New Roman" w:eastAsia="微软雅黑"/>
          <w:sz w:val="24"/>
        </w:rPr>
        <w:t xml:space="preserve">【小试牛刀】用营运周转与盈利回报指标识别经营实质</w:t>
      </w:r>
    </w:p>
    <w:p>
      <w:pPr>
        <w:pStyle w:val="3"/>
      </w:pPr>
      <w:r>
        <w:rPr>
          <w:rFonts w:ascii="Times New Roman" w:hAnsi="Times New Roman" w:eastAsia="微软雅黑"/>
          <w:sz w:val="24"/>
        </w:rPr>
        <w:t xml:space="preserve">（1）利用表7-9和表7-10的数据，计算A公司与B公司的应收账款周转天数（26天vs 43天）和存货周转天数（27天vs 55天），说明两项周转指标对资金占用产生的影响。</w:t>
      </w:r>
    </w:p>
    <w:p>
      <w:pPr>
        <w:pStyle w:val="3"/>
      </w:pPr>
      <w:r>
        <w:rPr>
          <w:rFonts w:ascii="Times New Roman" w:hAnsi="Times New Roman" w:eastAsia="微软雅黑"/>
          <w:sz w:val="24"/>
        </w:rPr>
        <w:t xml:space="preserve">（2）结合表7-14计算ROA（15.1% vs 11.9%）与ROE（24.8% vs 32.0%），回答一个核心问题：为什么B公司的ROE显著高于A公司，但ROA和净利率却双双落后？</w:t>
      </w:r>
    </w:p>
    <w:p>
      <w:pPr>
        <w:pStyle w:val="3"/>
      </w:pPr>
      <w:r>
        <w:rPr>
          <w:rFonts w:ascii="Times New Roman" w:hAnsi="Times New Roman" w:eastAsia="微软雅黑"/>
          <w:sz w:val="24"/>
        </w:rPr>
        <w:t xml:space="preserve">（3）使用7.2.3的提示词模板，让AI解读两家企业的营运与盈利表现，重点核查AI是否正确指出了B公司“高ROE源于高财务杠杆”这一关键逻辑。</w:t>
      </w:r>
    </w:p>
    <w:p>
      <w:pPr>
        <w:pStyle w:val="3"/>
      </w:pPr>
      <w:r>
        <w:rPr>
          <w:rFonts w:ascii="Times New Roman" w:hAnsi="Times New Roman" w:eastAsia="微软雅黑"/>
          <w:sz w:val="24"/>
        </w:rPr>
        <w:t xml:space="preserve">（4）将AI的解读改写为一份向企业管理层汇报的150字摘要，删去空泛套话，补入至少一条改善存货或应收账款周转的具体管理建议。</w:t>
      </w:r>
    </w:p>
    <w:p w14:paraId="2B0E0342">
      <w:pPr>
        <w:pStyle w:val="4"/>
      </w:pPr>
      <w:bookmarkStart w:id="36" w:name="善学勤思-1"/>
      <w:r>
        <w:rPr>
          <w:rFonts w:ascii="Times New Roman" w:hAnsi="Times New Roman" w:eastAsia="微软雅黑"/>
          <w:sz w:val="24"/>
        </w:rPr>
        <w:t>【善学勤思】</w:t>
      </w:r>
    </w:p>
    <w:p w14:paraId="2436A429">
      <w:pPr>
        <w:pStyle w:val="24"/>
        <w:numPr>
          <w:ilvl w:val="0"/>
          <w:numId w:val="4"/>
        </w:numPr>
      </w:pPr>
      <w:r>
        <w:rPr>
          <w:rFonts w:ascii="Times New Roman" w:hAnsi="Times New Roman" w:eastAsia="微软雅黑"/>
          <w:sz w:val="24"/>
        </w:rPr>
        <w:t>表7-14显示B公司的ROE（32%）远高于A公司（24.8%），但B公司的ROA却更低。请解释这种“ROE高但ROA低”的现象是怎么产生的，以及这对评估B公司的投资价值意味着什么。</w:t>
      </w:r>
    </w:p>
    <w:p w14:paraId="71AFE2F0">
      <w:pPr>
        <w:pStyle w:val="24"/>
        <w:numPr>
          <w:ilvl w:val="0"/>
          <w:numId w:val="4"/>
        </w:numPr>
      </w:pPr>
      <w:r>
        <w:rPr>
          <w:rFonts w:ascii="Times New Roman" w:hAnsi="Times New Roman" w:eastAsia="微软雅黑"/>
          <w:sz w:val="24"/>
        </w:rPr>
        <w:t>应收账款周转天数和存货周转天数，对餐饮企业和制造企业来说，哪个指标更重要？为什么？</w:t>
      </w:r>
    </w:p>
    <w:p w14:paraId="33A5CABE">
      <w:pPr>
        <w:pStyle w:val="24"/>
        <w:numPr>
          <w:ilvl w:val="0"/>
          <w:numId w:val="4"/>
        </w:numPr>
      </w:pPr>
      <w:r>
        <w:rPr>
          <w:rFonts w:ascii="Times New Roman" w:hAnsi="Times New Roman" w:eastAsia="微软雅黑"/>
          <w:sz w:val="24"/>
        </w:rPr>
        <w:t>同一家企业，毛利率很高（40%）但净利率很低（5%）。这种情况说明了什么问题？下一步应该重点分析哪些内容？</w:t>
      </w:r>
    </w:p>
    <w:p w14:paraId="59CDB5ED">
      <w:r>
        <w:pict>
          <v:rect id="_x0000_i1040" o:spt="1" style="height:1.5pt;width:0pt;" coordsize="21600,21600" o:hr="t" o:hrstd="t" o:hralign="center">
            <v:path/>
            <v:fill focussize="0,0"/>
            <v:stroke/>
            <v:imagedata o:title=""/>
            <o:lock v:ext="edit"/>
            <w10:wrap type="none"/>
            <w10:anchorlock/>
          </v:rect>
        </w:pict>
      </w:r>
    </w:p>
    <w:bookmarkEnd w:id="36"/>
    <w:p w14:paraId="20070A23">
      <w:pPr>
        <w:pStyle w:val="2"/>
      </w:pPr>
      <w:bookmarkStart w:id="37" w:name="任务7.3-完成杜邦分析"/>
      <w:r>
        <w:rPr>
          <w:rFonts w:ascii="Times New Roman" w:hAnsi="Times New Roman" w:eastAsia="微软雅黑"/>
          <w:sz w:val="24"/>
        </w:rPr>
        <w:t>任务7.3 完成杜邦分析</w:t>
      </w:r>
    </w:p>
    <w:p w14:paraId="35293765">
      <w:pPr>
        <w:pStyle w:val="4"/>
      </w:pPr>
      <w:bookmarkStart w:id="38" w:name="杜邦分析的结构与逻辑"/>
      <w:r>
        <w:rPr>
          <w:rFonts w:ascii="Times New Roman" w:hAnsi="Times New Roman" w:eastAsia="微软雅黑"/>
          <w:sz w:val="24"/>
        </w:rPr>
        <w:t>7.3.1 杜邦分析的结构与逻辑</w:t>
      </w:r>
    </w:p>
    <w:p w14:paraId="7569C393">
      <w:pPr>
        <w:pStyle w:val="5"/>
      </w:pPr>
      <w:bookmarkStart w:id="39" w:name="杜邦分析解决什么问题"/>
      <w:r>
        <w:rPr>
          <w:rFonts w:ascii="Times New Roman" w:hAnsi="Times New Roman" w:eastAsia="微软雅黑"/>
          <w:sz w:val="24"/>
        </w:rPr>
        <w:t>1. 杜邦分析解决什么问题</w:t>
      </w:r>
    </w:p>
    <w:p w14:paraId="453A1E6D">
      <w:pPr>
        <w:pStyle w:val="23"/>
      </w:pPr>
      <w:r>
        <w:rPr>
          <w:rFonts w:ascii="Times New Roman" w:hAnsi="Times New Roman" w:eastAsia="微软雅黑"/>
          <w:sz w:val="24"/>
        </w:rPr>
        <w:t>前面计算了十几个财务比率，每个指标都有它的意义，但各指标分散排列，很难看出它们之间的内在联系。比如：一家企业ROE提升了3个百分点，是因为利润率提高了，还是资产周转加快了，还是加了更多杠杆？这三种原因对应的经营改善路径完全不同，对应的管理建议也完全不同。</w:t>
      </w:r>
    </w:p>
    <w:p w14:paraId="5EE7317B">
      <w:pPr>
        <w:pStyle w:val="3"/>
      </w:pPr>
      <w:r>
        <w:rPr>
          <w:rFonts w:ascii="Times New Roman" w:hAnsi="Times New Roman" w:eastAsia="微软雅黑"/>
          <w:sz w:val="24"/>
        </w:rPr>
        <w:t>杜邦分析（DuPont Analysis）解决的正是这个问题：把ROE分解成三个驱动因素，清楚地揭示是哪个因素在推动ROE变化，或者拖累ROE下降。</w:t>
      </w:r>
    </w:p>
    <w:bookmarkEnd w:id="39"/>
    <w:p w14:paraId="04875E5D">
      <w:pPr>
        <w:pStyle w:val="5"/>
      </w:pPr>
      <w:bookmarkStart w:id="40" w:name="杜邦分析的核心公式"/>
      <w:r>
        <w:rPr>
          <w:rFonts w:ascii="Times New Roman" w:hAnsi="Times New Roman" w:eastAsia="微软雅黑"/>
          <w:sz w:val="24"/>
        </w:rPr>
        <w:t>2. 杜邦分析的核心公式</w:t>
      </w:r>
    </w:p>
    <w:p w14:paraId="74650C45">
      <w:pPr>
        <w:pStyle w:val="23"/>
      </w:pPr>
      <w:r>
        <w:rPr>
          <w:rFonts w:ascii="Times New Roman" w:hAnsi="Times New Roman" w:eastAsia="微软雅黑"/>
          <w:sz w:val="24"/>
        </w:rPr>
        <w:t>杜邦分析的核心，是把ROE拆解成三个因素的乘积，见图7-3。</w:t>
      </w:r>
    </w:p>
    <w:p w14:paraId="4E71756B">
      <w:pPr>
        <w:pStyle w:val="35"/>
      </w:pPr>
      <w:r>
        <w:drawing>
          <wp:inline distT="0" distB="0" distL="114300" distR="114300">
            <wp:extent cx="4800600" cy="1530350"/>
            <wp:effectExtent l="0" t="0" r="0" b="0"/>
            <wp:docPr id="6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descr="mermaid diagram"/>
                    <pic:cNvPicPr>
                      <a:picLocks noChangeAspect="1" noChangeArrowheads="1"/>
                    </pic:cNvPicPr>
                  </pic:nvPicPr>
                  <pic:blipFill>
                    <a:blip r:embed="rId7"/>
                    <a:stretch>
                      <a:fillRect/>
                    </a:stretch>
                  </pic:blipFill>
                  <pic:spPr>
                    <a:xfrm>
                      <a:off x="0" y="0"/>
                      <a:ext cx="4800600" cy="1530803"/>
                    </a:xfrm>
                    <a:prstGeom prst="rect">
                      <a:avLst/>
                    </a:prstGeom>
                    <a:noFill/>
                    <a:ln w="9525">
                      <a:noFill/>
                    </a:ln>
                  </pic:spPr>
                </pic:pic>
              </a:graphicData>
            </a:graphic>
          </wp:inline>
        </w:drawing>
      </w:r>
    </w:p>
    <w:p w14:paraId="075EAD7A">
      <w:pPr>
        <w:jc w:val="center"/>
        <w:pStyle w:val="3"/>
      </w:pPr>
      <w:r>
        <w:rPr>
          <w:rFonts w:ascii="Times New Roman" w:hAnsi="Times New Roman" w:eastAsia="微软雅黑"/>
          <w:sz w:val="24"/>
        </w:rPr>
        <w:t>图7-3 杜邦分析的三因素拆解框架</w:t>
      </w:r>
    </w:p>
    <w:p w14:paraId="65D02BF2">
      <w:pPr>
        <w:pStyle w:val="3"/>
      </w:pPr>
      <w:r>
        <w:rPr>
          <w:rFonts w:ascii="Times New Roman" w:hAnsi="Times New Roman" w:eastAsia="微软雅黑"/>
          <w:sz w:val="24"/>
        </w:rPr>
        <w:t>公式表达为：</w:t>
      </w:r>
    </w:p>
    <w:p w14:paraId="182FEF54">
      <w:pPr>
        <w:pStyle w:val="3"/>
      </w:pPr>
      <w:r>
        <w:rPr>
          <w:rFonts w:ascii="Times New Roman" w:hAnsi="Times New Roman" w:eastAsia="微软雅黑"/>
          <w:b/>
          <w:bCs/>
          <w:sz w:val="24"/>
        </w:rPr>
        <w:t>ROE = 净利率 × 总资产周转率 × 权益乘数</w:t>
      </w:r>
    </w:p>
    <w:p w14:paraId="5CF628AE">
      <w:pPr>
        <w:pStyle w:val="3"/>
      </w:pPr>
      <w:r>
        <w:rPr>
          <w:rFonts w:ascii="Times New Roman" w:hAnsi="Times New Roman" w:eastAsia="微软雅黑"/>
          <w:sz w:val="24"/>
        </w:rPr>
        <w:t>或者展开写：</w:t>
      </w:r>
    </w:p>
    <w:p w14:paraId="6B0C2A3D">
      <w:pPr>
        <w:pStyle w:val="3"/>
      </w:pPr>
      <w:r>
        <w:rPr>
          <w:rFonts w:ascii="Times New Roman" w:hAnsi="Times New Roman" w:eastAsia="微软雅黑"/>
          <w:b/>
          <w:bCs/>
          <w:sz w:val="24"/>
        </w:rPr>
        <w:t>ROE = （净利润/收入）×（收入/总资产）×（总资产/净资产）</w:t>
      </w:r>
    </w:p>
    <w:p w14:paraId="5AE0A6FD">
      <w:pPr>
        <w:pStyle w:val="3"/>
      </w:pPr>
      <w:r>
        <w:rPr>
          <w:rFonts w:ascii="Times New Roman" w:hAnsi="Times New Roman" w:eastAsia="微软雅黑"/>
          <w:sz w:val="24"/>
        </w:rPr>
        <w:t>中间的收入和总资产可以约分消掉，最后还原为净利润/净资产，在数学上是恒等式，但拆开来看就能发现是哪个因素在起作用。</w:t>
      </w:r>
    </w:p>
    <w:bookmarkEnd w:id="40"/>
    <w:p w14:paraId="5D86CCA2">
      <w:pPr>
        <w:pStyle w:val="5"/>
      </w:pPr>
      <w:bookmarkStart w:id="41" w:name="三个因素代表的战略方向"/>
      <w:r>
        <w:rPr>
          <w:rFonts w:ascii="Times New Roman" w:hAnsi="Times New Roman" w:eastAsia="微软雅黑"/>
          <w:sz w:val="24"/>
        </w:rPr>
        <w:t>3. 三个因素代表的战略方向</w:t>
      </w:r>
    </w:p>
    <w:p w14:paraId="09C4A818">
      <w:pPr>
        <w:pStyle w:val="23"/>
      </w:pPr>
      <w:r>
        <w:rPr>
          <w:rFonts w:ascii="Times New Roman" w:hAnsi="Times New Roman" w:eastAsia="微软雅黑"/>
          <w:sz w:val="24"/>
        </w:rPr>
        <w:t>这三个因素不只是数学上的拆分，它们分别代表企业可以采取的三种提升ROE的战略路径，见表7-15。</w:t>
      </w:r>
    </w:p>
    <w:p w14:paraId="3C5266B0">
      <w:pPr>
        <w:jc w:val="center"/>
        <w:pStyle w:val="3"/>
      </w:pPr>
      <w:r>
        <w:rPr>
          <w:rFonts w:ascii="Times New Roman" w:hAnsi="Times New Roman" w:eastAsia="微软雅黑"/>
          <w:b/>
          <w:bCs/>
          <w:sz w:val="24"/>
        </w:rPr>
        <w:t>表7-15 杜邦分析三因素与战略含义</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59"/>
        <w:gridCol w:w="1931"/>
        <w:gridCol w:w="1931"/>
        <w:gridCol w:w="2897"/>
      </w:tblGrid>
      <w:tr w14:paraId="4319328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449113D">
            <w:pPr>
              <w:pStyle w:val="24"/>
              <w:jc w:val="left"/>
            </w:pPr>
            <w:r>
              <w:rPr>
                <w:rFonts w:ascii="Times New Roman" w:hAnsi="Times New Roman" w:eastAsia="微软雅黑"/>
                <w:b/>
                <w:color w:val="1E3A8A"/>
                <w:sz w:val="22"/>
              </w:rPr>
              <w:t>因素</w:t>
            </w:r>
          </w:p>
        </w:tc>
        <w:tc>
          <w:tcPr>
            <w:tcBorders>
              <w:top w:val="single" w:color="E2E8F0" w:sz="6" w:space="0"/>
              <w:left w:val="single" w:color="E2E8F0" w:sz="6" w:space="0"/>
              <w:bottom w:val="single" w:color="E2E8F0" w:sz="6" w:space="0"/>
              <w:right w:val="single" w:color="E2E8F0" w:sz="6" w:space="0"/>
            </w:tcBorders>
            <w:shd w:val="clear" w:color="auto" w:fill="EEF4FF"/>
          </w:tcPr>
          <w:p w14:paraId="23946DBF">
            <w:pPr>
              <w:pStyle w:val="24"/>
              <w:jc w:val="left"/>
            </w:pPr>
            <w:r>
              <w:rPr>
                <w:rFonts w:ascii="Times New Roman" w:hAnsi="Times New Roman" w:eastAsia="微软雅黑"/>
                <w:b/>
                <w:color w:val="1E3A8A"/>
                <w:sz w:val="22"/>
              </w:rPr>
              <w:t>代表什么</w:t>
            </w:r>
          </w:p>
        </w:tc>
        <w:tc>
          <w:tcPr>
            <w:tcBorders>
              <w:top w:val="single" w:color="E2E8F0" w:sz="6" w:space="0"/>
              <w:left w:val="single" w:color="E2E8F0" w:sz="6" w:space="0"/>
              <w:bottom w:val="single" w:color="E2E8F0" w:sz="6" w:space="0"/>
              <w:right w:val="single" w:color="E2E8F0" w:sz="6" w:space="0"/>
            </w:tcBorders>
            <w:shd w:val="clear" w:color="auto" w:fill="EEF4FF"/>
          </w:tcPr>
          <w:p w14:paraId="22C0C6B6">
            <w:pPr>
              <w:pStyle w:val="24"/>
              <w:jc w:val="left"/>
            </w:pPr>
            <w:r>
              <w:rPr>
                <w:rFonts w:ascii="Times New Roman" w:hAnsi="Times New Roman" w:eastAsia="微软雅黑"/>
                <w:b/>
                <w:color w:val="1E3A8A"/>
                <w:sz w:val="22"/>
              </w:rPr>
              <w:t>如何提升</w:t>
            </w:r>
          </w:p>
        </w:tc>
        <w:tc>
          <w:tcPr>
            <w:tcBorders>
              <w:top w:val="single" w:color="E2E8F0" w:sz="6" w:space="0"/>
              <w:left w:val="single" w:color="E2E8F0" w:sz="6" w:space="0"/>
              <w:bottom w:val="single" w:color="E2E8F0" w:sz="6" w:space="0"/>
              <w:right w:val="single" w:color="E2E8F0" w:sz="6" w:space="0"/>
            </w:tcBorders>
            <w:shd w:val="clear" w:color="auto" w:fill="EEF4FF"/>
          </w:tcPr>
          <w:p w14:paraId="37B6012F">
            <w:pPr>
              <w:pStyle w:val="24"/>
              <w:jc w:val="left"/>
            </w:pPr>
            <w:r>
              <w:rPr>
                <w:rFonts w:ascii="Times New Roman" w:hAnsi="Times New Roman" w:eastAsia="微软雅黑"/>
                <w:b/>
                <w:color w:val="1E3A8A"/>
                <w:sz w:val="22"/>
              </w:rPr>
              <w:t>代表的企业类型</w:t>
            </w:r>
          </w:p>
        </w:tc>
      </w:tr>
      <w:tr w14:paraId="0AB93AE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7912596">
            <w:pPr>
              <w:pStyle w:val="24"/>
              <w:jc w:val="left"/>
            </w:pPr>
            <w:r>
              <w:rPr>
                <w:rFonts w:ascii="Times New Roman" w:hAnsi="Times New Roman" w:eastAsia="微软雅黑"/>
                <w:sz w:val="22"/>
              </w:rPr>
              <w:t>净利率</w:t>
            </w:r>
          </w:p>
        </w:tc>
        <w:tc>
          <w:tcPr>
            <w:tcBorders>
              <w:top w:val="single" w:color="E2E8F0" w:sz="6" w:space="0"/>
              <w:left w:val="single" w:color="E2E8F0" w:sz="6" w:space="0"/>
              <w:bottom w:val="single" w:color="E2E8F0" w:sz="6" w:space="0"/>
              <w:right w:val="single" w:color="E2E8F0" w:sz="6" w:space="0"/>
            </w:tcBorders>
          </w:tcPr>
          <w:p w14:paraId="0EF8E57D">
            <w:pPr>
              <w:pStyle w:val="24"/>
              <w:jc w:val="left"/>
            </w:pPr>
            <w:r>
              <w:rPr>
                <w:rFonts w:ascii="Times New Roman" w:hAnsi="Times New Roman" w:eastAsia="微软雅黑"/>
                <w:sz w:val="22"/>
              </w:rPr>
              <w:t>盈利能力，每元收入能赚多少</w:t>
            </w:r>
          </w:p>
        </w:tc>
        <w:tc>
          <w:tcPr>
            <w:tcBorders>
              <w:top w:val="single" w:color="E2E8F0" w:sz="6" w:space="0"/>
              <w:left w:val="single" w:color="E2E8F0" w:sz="6" w:space="0"/>
              <w:bottom w:val="single" w:color="E2E8F0" w:sz="6" w:space="0"/>
              <w:right w:val="single" w:color="E2E8F0" w:sz="6" w:space="0"/>
            </w:tcBorders>
          </w:tcPr>
          <w:p w14:paraId="518CACC6">
            <w:pPr>
              <w:pStyle w:val="24"/>
              <w:jc w:val="left"/>
            </w:pPr>
            <w:r>
              <w:rPr>
                <w:rFonts w:ascii="Times New Roman" w:hAnsi="Times New Roman" w:eastAsia="微软雅黑"/>
                <w:sz w:val="22"/>
              </w:rPr>
              <w:t>提升售价、降低成本、控制费用</w:t>
            </w:r>
          </w:p>
        </w:tc>
        <w:tc>
          <w:tcPr>
            <w:tcBorders>
              <w:top w:val="single" w:color="E2E8F0" w:sz="6" w:space="0"/>
              <w:left w:val="single" w:color="E2E8F0" w:sz="6" w:space="0"/>
              <w:bottom w:val="single" w:color="E2E8F0" w:sz="6" w:space="0"/>
              <w:right w:val="single" w:color="E2E8F0" w:sz="6" w:space="0"/>
            </w:tcBorders>
          </w:tcPr>
          <w:p w14:paraId="3D256AC8">
            <w:pPr>
              <w:pStyle w:val="24"/>
              <w:jc w:val="left"/>
            </w:pPr>
            <w:r>
              <w:rPr>
                <w:rFonts w:ascii="Times New Roman" w:hAnsi="Times New Roman" w:eastAsia="微软雅黑"/>
                <w:sz w:val="22"/>
              </w:rPr>
              <w:t>高端品牌、技术密集型企业</w:t>
            </w:r>
          </w:p>
        </w:tc>
      </w:tr>
      <w:tr w14:paraId="1E716F3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5266925">
            <w:pPr>
              <w:pStyle w:val="24"/>
              <w:jc w:val="left"/>
            </w:pPr>
            <w:r>
              <w:rPr>
                <w:rFonts w:ascii="Times New Roman" w:hAnsi="Times New Roman" w:eastAsia="微软雅黑"/>
                <w:sz w:val="22"/>
              </w:rPr>
              <w:t>总资产周转率</w:t>
            </w:r>
          </w:p>
        </w:tc>
        <w:tc>
          <w:tcPr>
            <w:tcBorders>
              <w:top w:val="single" w:color="E2E8F0" w:sz="6" w:space="0"/>
              <w:left w:val="single" w:color="E2E8F0" w:sz="6" w:space="0"/>
              <w:bottom w:val="single" w:color="E2E8F0" w:sz="6" w:space="0"/>
              <w:right w:val="single" w:color="E2E8F0" w:sz="6" w:space="0"/>
            </w:tcBorders>
            <w:shd w:val="clear" w:color="auto" w:fill="F8FAFC"/>
          </w:tcPr>
          <w:p w14:paraId="5AF97102">
            <w:pPr>
              <w:pStyle w:val="24"/>
              <w:jc w:val="left"/>
            </w:pPr>
            <w:r>
              <w:rPr>
                <w:rFonts w:ascii="Times New Roman" w:hAnsi="Times New Roman" w:eastAsia="微软雅黑"/>
                <w:sz w:val="22"/>
              </w:rPr>
              <w:t>营运效率，每元资产产生多少收入</w:t>
            </w:r>
          </w:p>
        </w:tc>
        <w:tc>
          <w:tcPr>
            <w:tcBorders>
              <w:top w:val="single" w:color="E2E8F0" w:sz="6" w:space="0"/>
              <w:left w:val="single" w:color="E2E8F0" w:sz="6" w:space="0"/>
              <w:bottom w:val="single" w:color="E2E8F0" w:sz="6" w:space="0"/>
              <w:right w:val="single" w:color="E2E8F0" w:sz="6" w:space="0"/>
            </w:tcBorders>
            <w:shd w:val="clear" w:color="auto" w:fill="F8FAFC"/>
          </w:tcPr>
          <w:p w14:paraId="18C2C19B">
            <w:pPr>
              <w:pStyle w:val="24"/>
              <w:jc w:val="left"/>
            </w:pPr>
            <w:r>
              <w:rPr>
                <w:rFonts w:ascii="Times New Roman" w:hAnsi="Times New Roman" w:eastAsia="微软雅黑"/>
                <w:sz w:val="22"/>
              </w:rPr>
              <w:t>加快存货周转、减少应收账款、优化资产结构</w:t>
            </w:r>
          </w:p>
        </w:tc>
        <w:tc>
          <w:tcPr>
            <w:tcBorders>
              <w:top w:val="single" w:color="E2E8F0" w:sz="6" w:space="0"/>
              <w:left w:val="single" w:color="E2E8F0" w:sz="6" w:space="0"/>
              <w:bottom w:val="single" w:color="E2E8F0" w:sz="6" w:space="0"/>
              <w:right w:val="single" w:color="E2E8F0" w:sz="6" w:space="0"/>
            </w:tcBorders>
            <w:shd w:val="clear" w:color="auto" w:fill="F8FAFC"/>
          </w:tcPr>
          <w:p w14:paraId="3B850D8C">
            <w:pPr>
              <w:pStyle w:val="24"/>
              <w:jc w:val="left"/>
            </w:pPr>
            <w:r>
              <w:rPr>
                <w:rFonts w:ascii="Times New Roman" w:hAnsi="Times New Roman" w:eastAsia="微软雅黑"/>
                <w:sz w:val="22"/>
              </w:rPr>
              <w:t>零售、物流等薄利多销型企业</w:t>
            </w:r>
          </w:p>
        </w:tc>
      </w:tr>
      <w:tr w14:paraId="7FF49EB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FCF70D1">
            <w:pPr>
              <w:pStyle w:val="24"/>
              <w:jc w:val="left"/>
            </w:pPr>
            <w:r>
              <w:rPr>
                <w:rFonts w:ascii="Times New Roman" w:hAnsi="Times New Roman" w:eastAsia="微软雅黑"/>
                <w:sz w:val="22"/>
              </w:rPr>
              <w:t>权益乘数</w:t>
            </w:r>
          </w:p>
        </w:tc>
        <w:tc>
          <w:tcPr>
            <w:tcBorders>
              <w:top w:val="single" w:color="E2E8F0" w:sz="6" w:space="0"/>
              <w:left w:val="single" w:color="E2E8F0" w:sz="6" w:space="0"/>
              <w:bottom w:val="single" w:color="E2E8F0" w:sz="6" w:space="0"/>
              <w:right w:val="single" w:color="E2E8F0" w:sz="6" w:space="0"/>
            </w:tcBorders>
          </w:tcPr>
          <w:p w14:paraId="32AA8F13">
            <w:pPr>
              <w:pStyle w:val="24"/>
              <w:jc w:val="left"/>
            </w:pPr>
            <w:r>
              <w:rPr>
                <w:rFonts w:ascii="Times New Roman" w:hAnsi="Times New Roman" w:eastAsia="微软雅黑"/>
                <w:sz w:val="22"/>
              </w:rPr>
              <w:t>财务杠杆，股东资本撬动多少资产</w:t>
            </w:r>
          </w:p>
        </w:tc>
        <w:tc>
          <w:tcPr>
            <w:tcBorders>
              <w:top w:val="single" w:color="E2E8F0" w:sz="6" w:space="0"/>
              <w:left w:val="single" w:color="E2E8F0" w:sz="6" w:space="0"/>
              <w:bottom w:val="single" w:color="E2E8F0" w:sz="6" w:space="0"/>
              <w:right w:val="single" w:color="E2E8F0" w:sz="6" w:space="0"/>
            </w:tcBorders>
          </w:tcPr>
          <w:p w14:paraId="0310447B">
            <w:pPr>
              <w:pStyle w:val="24"/>
              <w:jc w:val="left"/>
            </w:pPr>
            <w:r>
              <w:rPr>
                <w:rFonts w:ascii="Times New Roman" w:hAnsi="Times New Roman" w:eastAsia="微软雅黑"/>
                <w:sz w:val="22"/>
              </w:rPr>
              <w:t>增加负债融资</w:t>
            </w:r>
          </w:p>
        </w:tc>
        <w:tc>
          <w:tcPr>
            <w:tcBorders>
              <w:top w:val="single" w:color="E2E8F0" w:sz="6" w:space="0"/>
              <w:left w:val="single" w:color="E2E8F0" w:sz="6" w:space="0"/>
              <w:bottom w:val="single" w:color="E2E8F0" w:sz="6" w:space="0"/>
              <w:right w:val="single" w:color="E2E8F0" w:sz="6" w:space="0"/>
            </w:tcBorders>
          </w:tcPr>
          <w:p w14:paraId="1EE8E9E4">
            <w:pPr>
              <w:pStyle w:val="24"/>
              <w:jc w:val="left"/>
            </w:pPr>
            <w:r>
              <w:rPr>
                <w:rFonts w:ascii="Times New Roman" w:hAnsi="Times New Roman" w:eastAsia="微软雅黑"/>
                <w:sz w:val="22"/>
              </w:rPr>
              <w:t>金融机构、房地产等高杠杆行业</w:t>
            </w:r>
          </w:p>
        </w:tc>
      </w:tr>
    </w:tbl>
    <w:p w14:paraId="46CA6CE4">
      <w:pPr>
        <w:pStyle w:val="3"/>
      </w:pPr>
      <w:r>
        <w:rPr>
          <w:rFonts w:ascii="Times New Roman" w:hAnsi="Times New Roman" w:eastAsia="微软雅黑"/>
          <w:sz w:val="24"/>
        </w:rPr>
        <w:t>不同行业的企业，依赖的路径也不同。奢侈品企业靠高净利率撑起ROE；超市靠极高的资产周转率弥补很低的净利率；银行靠高杠杆。这种差异是行业商业模式的体现，不是简单的好坏之分。</w:t>
      </w:r>
    </w:p>
    <w:p w14:paraId="3BAF8D15">
      <w:r>
        <w:pict>
          <v:rect id="_x0000_i1041" o:spt="1" style="height:1.5pt;width:0pt;" coordsize="21600,21600" o:hr="t" o:hrstd="t" o:hralign="center">
            <v:path/>
            <v:fill focussize="0,0"/>
            <v:stroke/>
            <v:imagedata o:title=""/>
            <o:lock v:ext="edit"/>
            <w10:wrap type="none"/>
            <w10:anchorlock/>
          </v:rect>
        </w:pict>
      </w:r>
    </w:p>
    <w:bookmarkEnd w:id="38"/>
    <w:bookmarkEnd w:id="41"/>
    <w:p w14:paraId="23E02FAB">
      <w:pPr>
        <w:pStyle w:val="4"/>
      </w:pPr>
      <w:bookmarkStart w:id="42" w:name="用ai辅助进行杜邦分解"/>
      <w:r>
        <w:rPr>
          <w:rFonts w:ascii="Times New Roman" w:hAnsi="Times New Roman" w:eastAsia="微软雅黑"/>
          <w:sz w:val="24"/>
        </w:rPr>
        <w:t>7.3.2 用AI辅助进行杜邦分解</w:t>
      </w:r>
    </w:p>
    <w:p w14:paraId="5A89D3AB">
      <w:pPr>
        <w:pStyle w:val="5"/>
      </w:pPr>
      <w:bookmarkStart w:id="43" w:name="计算三个因素的数值"/>
      <w:r>
        <w:rPr>
          <w:rFonts w:ascii="Times New Roman" w:hAnsi="Times New Roman" w:eastAsia="微软雅黑"/>
          <w:sz w:val="24"/>
        </w:rPr>
        <w:t>1. 计算三个因素的数值</w:t>
      </w:r>
    </w:p>
    <w:p w14:paraId="7A7424DF">
      <w:pPr>
        <w:pStyle w:val="23"/>
      </w:pPr>
      <w:r>
        <w:rPr>
          <w:rFonts w:ascii="Times New Roman" w:hAnsi="Times New Roman" w:eastAsia="微软雅黑"/>
          <w:sz w:val="24"/>
        </w:rPr>
        <w:t>以A公司和B公司为例，根据已有数据计算杜邦分析的三个因素，见表7-16。</w:t>
      </w:r>
    </w:p>
    <w:p w14:paraId="784031F4">
      <w:pPr>
        <w:jc w:val="center"/>
        <w:pStyle w:val="3"/>
      </w:pPr>
      <w:r>
        <w:rPr>
          <w:rFonts w:ascii="Times New Roman" w:hAnsi="Times New Roman" w:eastAsia="微软雅黑"/>
          <w:b/>
          <w:bCs/>
          <w:sz w:val="24"/>
        </w:rPr>
        <w:t>表7-16 A公司与B公司杜邦分析三因素计算</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38"/>
        <w:gridCol w:w="1911"/>
        <w:gridCol w:w="1911"/>
        <w:gridCol w:w="2457"/>
      </w:tblGrid>
      <w:tr w14:paraId="36EEDE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72B1EFD">
            <w:pPr>
              <w:pStyle w:val="24"/>
              <w:jc w:val="left"/>
            </w:pPr>
            <w:r>
              <w:rPr>
                <w:rFonts w:ascii="Times New Roman" w:hAnsi="Times New Roman" w:eastAsia="微软雅黑"/>
                <w:b/>
                <w:color w:val="1E3A8A"/>
                <w:sz w:val="22"/>
              </w:rPr>
              <w:t>因素</w:t>
            </w:r>
          </w:p>
        </w:tc>
        <w:tc>
          <w:tcPr>
            <w:tcBorders>
              <w:top w:val="single" w:color="E2E8F0" w:sz="6" w:space="0"/>
              <w:left w:val="single" w:color="E2E8F0" w:sz="6" w:space="0"/>
              <w:bottom w:val="single" w:color="E2E8F0" w:sz="6" w:space="0"/>
              <w:right w:val="single" w:color="E2E8F0" w:sz="6" w:space="0"/>
            </w:tcBorders>
            <w:shd w:val="clear" w:color="auto" w:fill="EEF4FF"/>
          </w:tcPr>
          <w:p w14:paraId="2FC60740">
            <w:pPr>
              <w:pStyle w:val="24"/>
              <w:jc w:val="left"/>
            </w:pPr>
            <w:r>
              <w:rPr>
                <w:rFonts w:ascii="Times New Roman" w:hAnsi="Times New Roman" w:eastAsia="微软雅黑"/>
                <w:b/>
                <w:color w:val="1E3A8A"/>
                <w:sz w:val="22"/>
              </w:rPr>
              <w:t>A公司</w:t>
            </w:r>
          </w:p>
        </w:tc>
        <w:tc>
          <w:tcPr>
            <w:tcBorders>
              <w:top w:val="single" w:color="E2E8F0" w:sz="6" w:space="0"/>
              <w:left w:val="single" w:color="E2E8F0" w:sz="6" w:space="0"/>
              <w:bottom w:val="single" w:color="E2E8F0" w:sz="6" w:space="0"/>
              <w:right w:val="single" w:color="E2E8F0" w:sz="6" w:space="0"/>
            </w:tcBorders>
            <w:shd w:val="clear" w:color="auto" w:fill="EEF4FF"/>
          </w:tcPr>
          <w:p w14:paraId="3AF0F36A">
            <w:pPr>
              <w:pStyle w:val="24"/>
              <w:jc w:val="left"/>
            </w:pPr>
            <w:r>
              <w:rPr>
                <w:rFonts w:ascii="Times New Roman" w:hAnsi="Times New Roman" w:eastAsia="微软雅黑"/>
                <w:b/>
                <w:color w:val="1E3A8A"/>
                <w:sz w:val="22"/>
              </w:rPr>
              <w:t>B公司</w:t>
            </w:r>
          </w:p>
        </w:tc>
        <w:tc>
          <w:tcPr>
            <w:tcBorders>
              <w:top w:val="single" w:color="E2E8F0" w:sz="6" w:space="0"/>
              <w:left w:val="single" w:color="E2E8F0" w:sz="6" w:space="0"/>
              <w:bottom w:val="single" w:color="E2E8F0" w:sz="6" w:space="0"/>
              <w:right w:val="single" w:color="E2E8F0" w:sz="6" w:space="0"/>
            </w:tcBorders>
            <w:shd w:val="clear" w:color="auto" w:fill="EEF4FF"/>
          </w:tcPr>
          <w:p w14:paraId="50C0EB28">
            <w:pPr>
              <w:pStyle w:val="24"/>
              <w:jc w:val="left"/>
            </w:pPr>
            <w:r>
              <w:rPr>
                <w:rFonts w:ascii="Times New Roman" w:hAnsi="Times New Roman" w:eastAsia="微软雅黑"/>
                <w:b/>
                <w:color w:val="1E3A8A"/>
                <w:sz w:val="22"/>
              </w:rPr>
              <w:t>计算说明</w:t>
            </w:r>
          </w:p>
        </w:tc>
      </w:tr>
      <w:tr w14:paraId="631398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79B7F06">
            <w:pPr>
              <w:pStyle w:val="24"/>
              <w:jc w:val="left"/>
            </w:pPr>
            <w:r>
              <w:rPr>
                <w:rFonts w:ascii="Times New Roman" w:hAnsi="Times New Roman" w:eastAsia="微软雅黑"/>
                <w:sz w:val="22"/>
              </w:rPr>
              <w:t>净利率</w:t>
            </w:r>
          </w:p>
        </w:tc>
        <w:tc>
          <w:tcPr>
            <w:tcBorders>
              <w:top w:val="single" w:color="E2E8F0" w:sz="6" w:space="0"/>
              <w:left w:val="single" w:color="E2E8F0" w:sz="6" w:space="0"/>
              <w:bottom w:val="single" w:color="E2E8F0" w:sz="6" w:space="0"/>
              <w:right w:val="single" w:color="E2E8F0" w:sz="6" w:space="0"/>
            </w:tcBorders>
          </w:tcPr>
          <w:p w14:paraId="3216C4C2">
            <w:pPr>
              <w:pStyle w:val="24"/>
              <w:jc w:val="left"/>
            </w:pPr>
            <w:r>
              <w:rPr>
                <w:rFonts w:ascii="Times New Roman" w:hAnsi="Times New Roman" w:eastAsia="微软雅黑"/>
                <w:sz w:val="22"/>
              </w:rPr>
              <w:t>9.8%</w:t>
            </w:r>
          </w:p>
        </w:tc>
        <w:tc>
          <w:tcPr>
            <w:tcBorders>
              <w:top w:val="single" w:color="E2E8F0" w:sz="6" w:space="0"/>
              <w:left w:val="single" w:color="E2E8F0" w:sz="6" w:space="0"/>
              <w:bottom w:val="single" w:color="E2E8F0" w:sz="6" w:space="0"/>
              <w:right w:val="single" w:color="E2E8F0" w:sz="6" w:space="0"/>
            </w:tcBorders>
          </w:tcPr>
          <w:p w14:paraId="622B10EA">
            <w:pPr>
              <w:pStyle w:val="24"/>
              <w:jc w:val="left"/>
            </w:pPr>
            <w:r>
              <w:rPr>
                <w:rFonts w:ascii="Times New Roman" w:hAnsi="Times New Roman" w:eastAsia="微软雅黑"/>
                <w:sz w:val="22"/>
              </w:rPr>
              <w:t>9.4%</w:t>
            </w:r>
          </w:p>
        </w:tc>
        <w:tc>
          <w:tcPr>
            <w:tcBorders>
              <w:top w:val="single" w:color="E2E8F0" w:sz="6" w:space="0"/>
              <w:left w:val="single" w:color="E2E8F0" w:sz="6" w:space="0"/>
              <w:bottom w:val="single" w:color="E2E8F0" w:sz="6" w:space="0"/>
              <w:right w:val="single" w:color="E2E8F0" w:sz="6" w:space="0"/>
            </w:tcBorders>
          </w:tcPr>
          <w:p w14:paraId="7BC5B8DB">
            <w:pPr>
              <w:pStyle w:val="24"/>
              <w:jc w:val="left"/>
            </w:pPr>
            <w:r>
              <w:rPr>
                <w:rFonts w:ascii="Times New Roman" w:hAnsi="Times New Roman" w:eastAsia="微软雅黑"/>
                <w:sz w:val="22"/>
              </w:rPr>
              <w:t>净利润/营业收入</w:t>
            </w:r>
          </w:p>
        </w:tc>
      </w:tr>
      <w:tr w14:paraId="6669225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C7813FD">
            <w:pPr>
              <w:pStyle w:val="24"/>
              <w:jc w:val="left"/>
            </w:pPr>
            <w:r>
              <w:rPr>
                <w:rFonts w:ascii="Times New Roman" w:hAnsi="Times New Roman" w:eastAsia="微软雅黑"/>
                <w:sz w:val="22"/>
              </w:rPr>
              <w:t>总资产周转率</w:t>
            </w:r>
          </w:p>
        </w:tc>
        <w:tc>
          <w:tcPr>
            <w:tcBorders>
              <w:top w:val="single" w:color="E2E8F0" w:sz="6" w:space="0"/>
              <w:left w:val="single" w:color="E2E8F0" w:sz="6" w:space="0"/>
              <w:bottom w:val="single" w:color="E2E8F0" w:sz="6" w:space="0"/>
              <w:right w:val="single" w:color="E2E8F0" w:sz="6" w:space="0"/>
            </w:tcBorders>
            <w:shd w:val="clear" w:color="auto" w:fill="F8FAFC"/>
          </w:tcPr>
          <w:p w14:paraId="38C8660C">
            <w:pPr>
              <w:pStyle w:val="24"/>
              <w:jc w:val="left"/>
            </w:pPr>
            <w:r>
              <w:rPr>
                <w:rFonts w:ascii="Times New Roman" w:hAnsi="Times New Roman" w:eastAsia="微软雅黑"/>
                <w:sz w:val="22"/>
              </w:rPr>
              <w:t>1.55次</w:t>
            </w:r>
          </w:p>
        </w:tc>
        <w:tc>
          <w:tcPr>
            <w:tcBorders>
              <w:top w:val="single" w:color="E2E8F0" w:sz="6" w:space="0"/>
              <w:left w:val="single" w:color="E2E8F0" w:sz="6" w:space="0"/>
              <w:bottom w:val="single" w:color="E2E8F0" w:sz="6" w:space="0"/>
              <w:right w:val="single" w:color="E2E8F0" w:sz="6" w:space="0"/>
            </w:tcBorders>
            <w:shd w:val="clear" w:color="auto" w:fill="F8FAFC"/>
          </w:tcPr>
          <w:p w14:paraId="48BC2BC2">
            <w:pPr>
              <w:pStyle w:val="24"/>
              <w:jc w:val="left"/>
            </w:pPr>
            <w:r>
              <w:rPr>
                <w:rFonts w:ascii="Times New Roman" w:hAnsi="Times New Roman" w:eastAsia="微软雅黑"/>
                <w:sz w:val="22"/>
              </w:rPr>
              <w:t>1.28次</w:t>
            </w:r>
          </w:p>
        </w:tc>
        <w:tc>
          <w:tcPr>
            <w:tcBorders>
              <w:top w:val="single" w:color="E2E8F0" w:sz="6" w:space="0"/>
              <w:left w:val="single" w:color="E2E8F0" w:sz="6" w:space="0"/>
              <w:bottom w:val="single" w:color="E2E8F0" w:sz="6" w:space="0"/>
              <w:right w:val="single" w:color="E2E8F0" w:sz="6" w:space="0"/>
            </w:tcBorders>
            <w:shd w:val="clear" w:color="auto" w:fill="F8FAFC"/>
          </w:tcPr>
          <w:p w14:paraId="13150BFA">
            <w:pPr>
              <w:pStyle w:val="24"/>
              <w:jc w:val="left"/>
            </w:pPr>
            <w:r>
              <w:rPr>
                <w:rFonts w:ascii="Times New Roman" w:hAnsi="Times New Roman" w:eastAsia="微软雅黑"/>
                <w:sz w:val="22"/>
              </w:rPr>
              <w:t>营业收入/总资产</w:t>
            </w:r>
          </w:p>
        </w:tc>
      </w:tr>
      <w:tr w14:paraId="521068B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7BC826C">
            <w:pPr>
              <w:pStyle w:val="24"/>
              <w:jc w:val="left"/>
            </w:pPr>
            <w:r>
              <w:rPr>
                <w:rFonts w:ascii="Times New Roman" w:hAnsi="Times New Roman" w:eastAsia="微软雅黑"/>
                <w:sz w:val="22"/>
              </w:rPr>
              <w:t>权益乘数</w:t>
            </w:r>
          </w:p>
        </w:tc>
        <w:tc>
          <w:tcPr>
            <w:tcBorders>
              <w:top w:val="single" w:color="E2E8F0" w:sz="6" w:space="0"/>
              <w:left w:val="single" w:color="E2E8F0" w:sz="6" w:space="0"/>
              <w:bottom w:val="single" w:color="E2E8F0" w:sz="6" w:space="0"/>
              <w:right w:val="single" w:color="E2E8F0" w:sz="6" w:space="0"/>
            </w:tcBorders>
          </w:tcPr>
          <w:p w14:paraId="2D8DE79A">
            <w:pPr>
              <w:pStyle w:val="24"/>
              <w:jc w:val="left"/>
            </w:pPr>
            <w:r>
              <w:rPr>
                <w:rFonts w:ascii="Times New Roman" w:hAnsi="Times New Roman" w:eastAsia="微软雅黑"/>
                <w:sz w:val="22"/>
              </w:rPr>
              <w:t>1.64</w:t>
            </w:r>
          </w:p>
        </w:tc>
        <w:tc>
          <w:tcPr>
            <w:tcBorders>
              <w:top w:val="single" w:color="E2E8F0" w:sz="6" w:space="0"/>
              <w:left w:val="single" w:color="E2E8F0" w:sz="6" w:space="0"/>
              <w:bottom w:val="single" w:color="E2E8F0" w:sz="6" w:space="0"/>
              <w:right w:val="single" w:color="E2E8F0" w:sz="6" w:space="0"/>
            </w:tcBorders>
          </w:tcPr>
          <w:p w14:paraId="3F2A0E20">
            <w:pPr>
              <w:pStyle w:val="24"/>
              <w:jc w:val="left"/>
            </w:pPr>
            <w:r>
              <w:rPr>
                <w:rFonts w:ascii="Times New Roman" w:hAnsi="Times New Roman" w:eastAsia="微软雅黑"/>
                <w:sz w:val="22"/>
              </w:rPr>
              <w:t>2.68</w:t>
            </w:r>
          </w:p>
        </w:tc>
        <w:tc>
          <w:tcPr>
            <w:tcBorders>
              <w:top w:val="single" w:color="E2E8F0" w:sz="6" w:space="0"/>
              <w:left w:val="single" w:color="E2E8F0" w:sz="6" w:space="0"/>
              <w:bottom w:val="single" w:color="E2E8F0" w:sz="6" w:space="0"/>
              <w:right w:val="single" w:color="E2E8F0" w:sz="6" w:space="0"/>
            </w:tcBorders>
          </w:tcPr>
          <w:p w14:paraId="37279E64">
            <w:pPr>
              <w:pStyle w:val="24"/>
              <w:jc w:val="left"/>
            </w:pPr>
            <w:r>
              <w:rPr>
                <w:rFonts w:ascii="Times New Roman" w:hAnsi="Times New Roman" w:eastAsia="微软雅黑"/>
                <w:sz w:val="22"/>
              </w:rPr>
              <w:t>总资产/净资产</w:t>
            </w:r>
          </w:p>
        </w:tc>
      </w:tr>
      <w:tr w14:paraId="0B20E8D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1E34DD4">
            <w:pPr>
              <w:pStyle w:val="24"/>
              <w:jc w:val="left"/>
            </w:pPr>
            <w:r>
              <w:rPr>
                <w:rFonts w:ascii="Times New Roman" w:hAnsi="Times New Roman" w:eastAsia="微软雅黑"/>
                <w:b/>
                <w:bCs/>
                <w:sz w:val="22"/>
              </w:rPr>
              <w:t>ROE（三者之积）</w:t>
            </w:r>
          </w:p>
        </w:tc>
        <w:tc>
          <w:tcPr>
            <w:tcBorders>
              <w:top w:val="single" w:color="E2E8F0" w:sz="6" w:space="0"/>
              <w:left w:val="single" w:color="E2E8F0" w:sz="6" w:space="0"/>
              <w:bottom w:val="single" w:color="E2E8F0" w:sz="6" w:space="0"/>
              <w:right w:val="single" w:color="E2E8F0" w:sz="6" w:space="0"/>
            </w:tcBorders>
            <w:shd w:val="clear" w:color="auto" w:fill="F8FAFC"/>
          </w:tcPr>
          <w:p w14:paraId="716BE4C0">
            <w:pPr>
              <w:pStyle w:val="24"/>
              <w:jc w:val="left"/>
            </w:pPr>
            <w:r>
              <w:rPr>
                <w:rFonts w:ascii="Times New Roman" w:hAnsi="Times New Roman" w:eastAsia="微软雅黑"/>
                <w:b/>
                <w:bCs/>
                <w:sz w:val="22"/>
              </w:rPr>
              <w:t>24.9%</w:t>
            </w:r>
          </w:p>
        </w:tc>
        <w:tc>
          <w:tcPr>
            <w:tcBorders>
              <w:top w:val="single" w:color="E2E8F0" w:sz="6" w:space="0"/>
              <w:left w:val="single" w:color="E2E8F0" w:sz="6" w:space="0"/>
              <w:bottom w:val="single" w:color="E2E8F0" w:sz="6" w:space="0"/>
              <w:right w:val="single" w:color="E2E8F0" w:sz="6" w:space="0"/>
            </w:tcBorders>
            <w:shd w:val="clear" w:color="auto" w:fill="F8FAFC"/>
          </w:tcPr>
          <w:p w14:paraId="53D4F58F">
            <w:pPr>
              <w:pStyle w:val="24"/>
              <w:jc w:val="left"/>
            </w:pPr>
            <w:r>
              <w:rPr>
                <w:rFonts w:ascii="Times New Roman" w:hAnsi="Times New Roman" w:eastAsia="微软雅黑"/>
                <w:b/>
                <w:bCs/>
                <w:sz w:val="22"/>
              </w:rPr>
              <w:t>32.2%</w:t>
            </w:r>
          </w:p>
        </w:tc>
        <w:tc>
          <w:tcPr>
            <w:tcBorders>
              <w:top w:val="single" w:color="E2E8F0" w:sz="6" w:space="0"/>
              <w:left w:val="single" w:color="E2E8F0" w:sz="6" w:space="0"/>
              <w:bottom w:val="single" w:color="E2E8F0" w:sz="6" w:space="0"/>
              <w:right w:val="single" w:color="E2E8F0" w:sz="6" w:space="0"/>
            </w:tcBorders>
            <w:shd w:val="clear" w:color="auto" w:fill="F8FAFC"/>
          </w:tcPr>
          <w:p w14:paraId="5AAA36ED">
            <w:pPr>
              <w:pStyle w:val="24"/>
              <w:jc w:val="left"/>
            </w:pPr>
            <w:r>
              <w:rPr>
                <w:rFonts w:ascii="Times New Roman" w:hAnsi="Times New Roman" w:eastAsia="微软雅黑"/>
                <w:sz w:val="22"/>
              </w:rPr>
              <w:t>与直接计算基本一致（差异来自四舍五入）</w:t>
            </w:r>
          </w:p>
        </w:tc>
      </w:tr>
    </w:tbl>
    <w:p w14:paraId="1066DB62">
      <w:pPr>
        <w:pStyle w:val="3"/>
      </w:pPr>
      <w:r>
        <w:rPr>
          <w:rFonts w:ascii="Times New Roman" w:hAnsi="Times New Roman" w:eastAsia="微软雅黑"/>
          <w:sz w:val="24"/>
        </w:rPr>
        <w:t>从这组数字可以清晰看出：</w:t>
      </w:r>
    </w:p>
    <w:p w14:paraId="3C779A33">
      <w:pPr>
        <w:pStyle w:val="24"/>
        <w:numPr>
          <w:ilvl w:val="0"/>
          <w:numId w:val="1"/>
        </w:numPr>
      </w:pPr>
      <w:r>
        <w:rPr>
          <w:rFonts w:ascii="Times New Roman" w:hAnsi="Times New Roman" w:eastAsia="微软雅黑"/>
          <w:sz w:val="24"/>
        </w:rPr>
        <w:t>B公司的高ROE，几乎完全靠权益乘数（2.68 vs 1.64）来实现——也就是说，B公司的股东回报高，主要是因为借了更多的钱</w:t>
      </w:r>
    </w:p>
    <w:p w14:paraId="6B467E59">
      <w:pPr>
        <w:pStyle w:val="24"/>
        <w:numPr>
          <w:ilvl w:val="0"/>
          <w:numId w:val="1"/>
        </w:numPr>
      </w:pPr>
      <w:r>
        <w:rPr>
          <w:rFonts w:ascii="Times New Roman" w:hAnsi="Times New Roman" w:eastAsia="微软雅黑"/>
          <w:sz w:val="24"/>
        </w:rPr>
        <w:t>A公司的净利率和总资产周转率均高于B公司，说明A公司的实际经营效率更好</w:t>
      </w:r>
    </w:p>
    <w:p w14:paraId="693E1D1E">
      <w:pPr>
        <w:pStyle w:val="24"/>
        <w:numPr>
          <w:ilvl w:val="0"/>
          <w:numId w:val="1"/>
        </w:numPr>
      </w:pPr>
      <w:r>
        <w:rPr>
          <w:rFonts w:ascii="Times New Roman" w:hAnsi="Times New Roman" w:eastAsia="微软雅黑"/>
          <w:sz w:val="24"/>
        </w:rPr>
        <w:t>如果把B公司的权益乘数降低到A公司的水平（1.64），B公司的ROE大约只有 9.4%×1.28×1.64 ≈ 19.7%，比A公司的24.9%还低</w:t>
      </w:r>
    </w:p>
    <w:p w14:paraId="349A86D9">
      <w:pPr>
        <w:pStyle w:val="23"/>
      </w:pPr>
      <w:r>
        <w:rPr>
          <w:rFonts w:ascii="Times New Roman" w:hAnsi="Times New Roman" w:eastAsia="微软雅黑"/>
          <w:sz w:val="24"/>
        </w:rPr>
        <w:t>这个分析的结论，和前面偿债能力分析得出的判断完全吻合：B公司的高ROE是高杠杆的产物，而高杠杆是短期偿债能力偏弱的根本原因。</w:t>
      </w:r>
    </w:p>
    <w:bookmarkEnd w:id="43"/>
    <w:p w14:paraId="5FF54D46">
      <w:pPr>
        <w:pStyle w:val="5"/>
      </w:pPr>
      <w:bookmarkStart w:id="44" w:name="让ai帮助做杜邦分解说明"/>
      <w:r>
        <w:rPr>
          <w:rFonts w:ascii="Times New Roman" w:hAnsi="Times New Roman" w:eastAsia="微软雅黑"/>
          <w:sz w:val="24"/>
        </w:rPr>
        <w:t>2. 让AI帮助做杜邦分解说明</w:t>
      </w:r>
    </w:p>
    <w:p w14:paraId="0C57B764">
      <w:pPr>
        <w:pStyle w:val="23"/>
      </w:pPr>
      <w:r>
        <w:rPr>
          <w:rFonts w:ascii="Times New Roman" w:hAnsi="Times New Roman" w:eastAsia="微软雅黑"/>
          <w:sz w:val="24"/>
        </w:rPr>
        <w:t>把杜邦分析的计算结果交给AI，让它生成一段解读文字，是AI在这个场景下最自然的用法。</w:t>
      </w:r>
    </w:p>
    <w:p w14:paraId="1DC2E145">
      <w:pPr>
        <w:pStyle w:val="3"/>
      </w:pPr>
      <w:r>
        <w:rPr>
          <w:rFonts w:ascii="Times New Roman" w:hAnsi="Times New Roman" w:eastAsia="微软雅黑"/>
          <w:sz w:val="24"/>
        </w:rPr>
        <w:t>提示词示例：</w:t>
      </w:r>
    </w:p>
    <w:p w14:paraId="1538A6F6">
      <w:pPr>
        <w:pStyle w:val="13"/>
      </w:pPr>
      <w:r>
        <w:rPr>
          <w:rFonts w:ascii="Times New Roman" w:hAnsi="Times New Roman" w:eastAsia="微软雅黑"/>
          <w:sz w:val="24"/>
        </w:rPr>
        <w:t>“以下是A公司和B公司的杜邦分析结果，请用200字以内的文字，对两家公司的ROE驱动因素进行对比分析，说明各自ROE高低的主要原因，以及这意味着各自面临的主要机会和风险。</w:t>
      </w:r>
    </w:p>
    <w:p w14:paraId="3F053DFA">
      <w:pPr>
        <w:pStyle w:val="13"/>
      </w:pPr>
      <w:r>
        <w:rPr>
          <w:rFonts w:ascii="Times New Roman" w:hAnsi="Times New Roman" w:eastAsia="微软雅黑"/>
          <w:sz w:val="24"/>
        </w:rPr>
        <w:t xml:space="preserve">A公司：净利率9.8%，总资产周转率1.55，权益乘数1.64，ROE 24.9%；B公司：净利率9.4%，总资产周转率1.28，权益乘数2.68，ROE 32.2%。</w:t>
      </w:r>
    </w:p>
    <w:p w14:paraId="339BCBDB">
      <w:pPr>
        <w:pStyle w:val="13"/>
      </w:pPr>
      <w:r>
        <w:rPr>
          <w:rFonts w:ascii="Times New Roman" w:hAnsi="Times New Roman" w:eastAsia="微软雅黑"/>
          <w:sz w:val="24"/>
        </w:rPr>
        <w:t>语言简洁，面向非财务背景的管理层。”</w:t>
      </w:r>
    </w:p>
    <w:p w14:paraId="7BD64CCF">
      <w:pPr>
        <w:pStyle w:val="23"/>
      </w:pPr>
      <w:r>
        <w:rPr>
          <w:rFonts w:ascii="Times New Roman" w:hAnsi="Times New Roman" w:eastAsia="微软雅黑"/>
          <w:sz w:val="24"/>
        </w:rPr>
        <w:t>AI在处理这类“有明确数字依据的逻辑推理”时效果较好，但要注意核实它引用的数字和推理链条是否正确。</w:t>
      </w:r>
    </w:p>
    <w:p w14:paraId="41371280">
      <w:r>
        <w:pict>
          <v:rect id="_x0000_i1042" o:spt="1" style="height:1.5pt;width:0pt;" coordsize="21600,21600" o:hr="t" o:hrstd="t" o:hralign="center">
            <v:path/>
            <v:fill focussize="0,0"/>
            <v:stroke/>
            <v:imagedata o:title=""/>
            <o:lock v:ext="edit"/>
            <w10:wrap type="none"/>
            <w10:anchorlock/>
          </v:rect>
        </w:pict>
      </w:r>
    </w:p>
    <w:bookmarkEnd w:id="42"/>
    <w:bookmarkEnd w:id="44"/>
    <w:p w14:paraId="046276BF">
      <w:pPr>
        <w:pStyle w:val="4"/>
      </w:pPr>
      <w:bookmarkStart w:id="45" w:name="生成杜邦分析图"/>
      <w:r>
        <w:rPr>
          <w:rFonts w:ascii="Times New Roman" w:hAnsi="Times New Roman" w:eastAsia="微软雅黑"/>
          <w:sz w:val="24"/>
        </w:rPr>
        <w:t>7.3.3 生成杜邦分析图</w:t>
      </w:r>
    </w:p>
    <w:p w14:paraId="5482657A">
      <w:pPr>
        <w:pStyle w:val="23"/>
      </w:pPr>
      <w:r>
        <w:rPr>
          <w:rFonts w:ascii="Times New Roman" w:hAnsi="Times New Roman" w:eastAsia="微软雅黑"/>
          <w:sz w:val="24"/>
        </w:rPr>
        <w:t xml:space="preserve">杜邦分析除了用表格呈现，还常常用树状结构图来展示各指标的层级关系，直观展现出哪个因素对ROE的贡献最大，以及各指标背后的会计数据是什么。</w:t>
      </w:r>
    </w:p>
    <w:p w14:paraId="5D25E598">
      <w:pPr>
        <w:pStyle w:val="5"/>
      </w:pPr>
      <w:bookmarkStart w:id="46" w:name="杜邦分析图的完整结构"/>
      <w:r>
        <w:rPr>
          <w:rFonts w:ascii="Times New Roman" w:hAnsi="Times New Roman" w:eastAsia="微软雅黑"/>
          <w:sz w:val="24"/>
        </w:rPr>
        <w:t>1. 杜邦分析图的完整结构</w:t>
      </w:r>
    </w:p>
    <w:p w14:paraId="76234FBB">
      <w:pPr>
        <w:pStyle w:val="23"/>
      </w:pPr>
      <w:r>
        <w:rPr>
          <w:rFonts w:ascii="Times New Roman" w:hAnsi="Times New Roman" w:eastAsia="微软雅黑"/>
          <w:sz w:val="24"/>
        </w:rPr>
        <w:t>一张完整的杜邦分析图，通常把ROE从顶层一路往下拆解，直到具体的会计科目，见图7-4。</w:t>
      </w:r>
    </w:p>
    <w:p w14:paraId="0C296A20">
      <w:pPr>
        <w:pStyle w:val="35"/>
      </w:pPr>
      <w:r>
        <w:drawing>
          <wp:inline distT="0" distB="0" distL="114300" distR="114300">
            <wp:extent cx="4800600" cy="2571750"/>
            <wp:effectExtent l="0" t="0" r="0" b="0"/>
            <wp:docPr id="7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descr="mermaid diagram"/>
                    <pic:cNvPicPr>
                      <a:picLocks noChangeAspect="1" noChangeArrowheads="1"/>
                    </pic:cNvPicPr>
                  </pic:nvPicPr>
                  <pic:blipFill>
                    <a:blip r:embed="rId8"/>
                    <a:stretch>
                      <a:fillRect/>
                    </a:stretch>
                  </pic:blipFill>
                  <pic:spPr>
                    <a:xfrm>
                      <a:off x="0" y="0"/>
                      <a:ext cx="4800600" cy="2571750"/>
                    </a:xfrm>
                    <a:prstGeom prst="rect">
                      <a:avLst/>
                    </a:prstGeom>
                    <a:noFill/>
                    <a:ln w="9525">
                      <a:noFill/>
                    </a:ln>
                  </pic:spPr>
                </pic:pic>
              </a:graphicData>
            </a:graphic>
          </wp:inline>
        </w:drawing>
      </w:r>
    </w:p>
    <w:p w14:paraId="288E9C4F">
      <w:pPr>
        <w:jc w:val="center"/>
        <w:pStyle w:val="3"/>
      </w:pPr>
      <w:r>
        <w:rPr>
          <w:rFonts w:ascii="Times New Roman" w:hAnsi="Times New Roman" w:eastAsia="微软雅黑"/>
          <w:sz w:val="24"/>
        </w:rPr>
        <w:t>图7-4 A公司杜邦分析树状图（简化版）</w:t>
      </w:r>
    </w:p>
    <w:bookmarkEnd w:id="46"/>
    <w:p w14:paraId="092CDD15">
      <w:pPr>
        <w:pStyle w:val="5"/>
      </w:pPr>
      <w:bookmarkStart w:id="47" w:name="用ai生成杜邦分析的mermaid代码"/>
      <w:r>
        <w:rPr>
          <w:rFonts w:ascii="Times New Roman" w:hAnsi="Times New Roman" w:eastAsia="微软雅黑"/>
          <w:sz w:val="24"/>
        </w:rPr>
        <w:t>2. 用AI生成杜邦分析的Mermaid代码</w:t>
      </w:r>
    </w:p>
    <w:p w14:paraId="2CD416F7">
      <w:pPr>
        <w:pStyle w:val="23"/>
      </w:pPr>
      <w:r>
        <w:rPr>
          <w:rFonts w:ascii="Times New Roman" w:hAnsi="Times New Roman" w:eastAsia="微软雅黑"/>
          <w:sz w:val="24"/>
        </w:rPr>
        <w:t>在不使用专业BI工具的情况下，可以用AI生成Mermaid格式的图表代码，在支持Mermaid的平台上直接渲染。</w:t>
      </w:r>
    </w:p>
    <w:p w14:paraId="0D403F3A">
      <w:pPr>
        <w:pStyle w:val="3"/>
      </w:pPr>
      <w:r>
        <w:rPr>
          <w:rFonts w:ascii="Times New Roman" w:hAnsi="Times New Roman" w:eastAsia="微软雅黑"/>
          <w:sz w:val="24"/>
        </w:rPr>
        <w:t>提示词示例：</w:t>
      </w:r>
    </w:p>
    <w:p w14:paraId="348B4821">
      <w:pPr>
        <w:pStyle w:val="13"/>
      </w:pPr>
      <w:r>
        <w:rPr>
          <w:rFonts w:ascii="Times New Roman" w:hAnsi="Times New Roman" w:eastAsia="微软雅黑"/>
          <w:sz w:val="24"/>
        </w:rPr>
        <w:t>“请帮我生成一个杜邦分析的Mermaid图，展示A公司的ROE拆解。数据如下：</w:t>
      </w:r>
    </w:p>
    <w:p w14:paraId="6CADA823">
      <w:pPr>
        <w:pStyle w:val="13"/>
      </w:pPr>
      <w:r>
        <w:rPr>
          <w:rFonts w:ascii="Times New Roman" w:hAnsi="Times New Roman" w:eastAsia="微软雅黑"/>
          <w:sz w:val="24"/>
        </w:rPr>
        <w:t>ROE=24.9%；由净利率9.8%×总资产周转率1.55×权益乘数1.64构成</w:t>
      </w:r>
    </w:p>
    <w:p w14:paraId="773104A3">
      <w:pPr>
        <w:pStyle w:val="13"/>
      </w:pPr>
      <w:r>
        <w:rPr>
          <w:rFonts w:ascii="Times New Roman" w:hAnsi="Times New Roman" w:eastAsia="微软雅黑"/>
          <w:sz w:val="24"/>
        </w:rPr>
        <w:t>净利率的分子是净利润280万，分母是营业收入2860万</w:t>
      </w:r>
    </w:p>
    <w:p w14:paraId="09BEDB4B">
      <w:pPr>
        <w:pStyle w:val="13"/>
      </w:pPr>
      <w:r>
        <w:rPr>
          <w:rFonts w:ascii="Times New Roman" w:hAnsi="Times New Roman" w:eastAsia="微软雅黑"/>
          <w:sz w:val="24"/>
        </w:rPr>
        <w:t>总资产周转率的分子是营业收入2860万，分母是总资产1850万</w:t>
      </w:r>
    </w:p>
    <w:p w14:paraId="015FF0DF">
      <w:pPr>
        <w:pStyle w:val="13"/>
      </w:pPr>
      <w:r>
        <w:rPr>
          <w:rFonts w:ascii="Times New Roman" w:hAnsi="Times New Roman" w:eastAsia="微软雅黑"/>
          <w:sz w:val="24"/>
        </w:rPr>
        <w:t>权益乘数的分子是总资产1850万，分母是净资产1130万</w:t>
      </w:r>
    </w:p>
    <w:p w14:paraId="4008A5C9">
      <w:pPr>
        <w:pStyle w:val="13"/>
      </w:pPr>
      <w:r>
        <w:rPr>
          <w:rFonts w:ascii="Times New Roman" w:hAnsi="Times New Roman" w:eastAsia="微软雅黑"/>
          <w:sz w:val="24"/>
        </w:rPr>
        <w:t>请使用graph TB的层级结构，每个节点显示指标名称和数值。”</w:t>
      </w:r>
    </w:p>
    <w:p w14:paraId="1C043853">
      <w:pPr>
        <w:pStyle w:val="23"/>
      </w:pPr>
      <w:r>
        <w:rPr>
          <w:rFonts w:ascii="Times New Roman" w:hAnsi="Times New Roman" w:eastAsia="微软雅黑"/>
          <w:sz w:val="24"/>
        </w:rPr>
        <w:t>生成的Mermaid代码可以粘贴到飞书文档、Notion、GitHub等支持Mermaid渲染的平台中直接显示为图表，不需要任何额外的绘图软件。</w:t>
      </w:r>
    </w:p>
    <w:bookmarkEnd w:id="47"/>
    <w:p w14:paraId="1D3C9895">
      <w:pPr>
        <w:pStyle w:val="5"/>
      </w:pPr>
      <w:bookmarkStart w:id="48" w:name="用excel制作简化版杜邦分析图"/>
      <w:r>
        <w:rPr>
          <w:rFonts w:ascii="Times New Roman" w:hAnsi="Times New Roman" w:eastAsia="微软雅黑"/>
          <w:sz w:val="24"/>
        </w:rPr>
        <w:t>3. 用Excel制作简化版杜邦分析图</w:t>
      </w:r>
    </w:p>
    <w:p w14:paraId="772D7BF4">
      <w:pPr>
        <w:pStyle w:val="23"/>
      </w:pPr>
      <w:r>
        <w:rPr>
          <w:rFonts w:ascii="Times New Roman" w:hAnsi="Times New Roman" w:eastAsia="微软雅黑"/>
          <w:sz w:val="24"/>
        </w:rPr>
        <w:t>如果不需要树状结构，可以用Excel制作一张简化版的杜邦分析汇总图，把三个因素用柱状图展示，同时标注各因素对ROE的贡献。这种方式制作简单，在月度报告中使用也很方便。</w:t>
      </w:r>
    </w:p>
    <w:p w14:paraId="08869AF4">
      <w:pPr>
        <w:pStyle w:val="3"/>
      </w:pPr>
      <w:r>
        <w:rPr>
          <w:rFonts w:ascii="Times New Roman" w:hAnsi="Times New Roman" w:eastAsia="微软雅黑"/>
          <w:sz w:val="24"/>
        </w:rPr>
        <w:t>用AI生成相应Excel图表的提示词：</w:t>
      </w:r>
    </w:p>
    <w:p w14:paraId="00376074">
      <w:pPr>
        <w:pStyle w:val="13"/>
      </w:pPr>
      <w:r>
        <w:rPr>
          <w:rFonts w:ascii="Times New Roman" w:hAnsi="Times New Roman" w:eastAsia="微软雅黑"/>
          <w:sz w:val="24"/>
        </w:rPr>
        <w:t>“我需要在Excel中制作一个杜邦分析对比图，展示A公司和B公司三个因素（净利率、总资产周转率、权益乘数）的对比。数据已整理在Sheet1中，A列是指标名称，B列是A公司数值，C列是B公司数值。请帮我写一段VBA代码，生成一个并列柱状图，横轴是三个因素，每组有两个柱子分别代表两家公司。”</w:t>
      </w:r>
    </w:p>
    <w:p w14:paraId="77ED16A4">
      <w:r>
        <w:pict>
          <v:rect id="_x0000_i1043" o:spt="1" style="height:1.5pt;width:0pt;" coordsize="21600,21600" o:hr="t" o:hrstd="t" o:hralign="center">
            <v:path/>
            <v:fill focussize="0,0"/>
            <v:stroke/>
            <v:imagedata o:title=""/>
            <o:lock v:ext="edit"/>
            <w10:wrap type="none"/>
            <w10:anchorlock/>
          </v:rect>
        </w:pict>
      </w:r>
    </w:p>
    <w:bookmarkEnd w:id="37"/>
    <w:bookmarkEnd w:id="45"/>
    <w:bookmarkEnd w:id="48"/>
    <w:p>
      <w:pPr>
        <w:pStyle w:val="4"/>
      </w:pPr>
      <w:r>
        <w:rPr>
          <w:rFonts w:ascii="Times New Roman" w:hAnsi="Times New Roman" w:eastAsia="微软雅黑"/>
          <w:sz w:val="24"/>
        </w:rPr>
        <w:t xml:space="preserve">【小试牛刀】动手拆解高ROE背后的真实驱动力</w:t>
      </w:r>
    </w:p>
    <w:p>
      <w:pPr>
        <w:pStyle w:val="3"/>
      </w:pPr>
      <w:r>
        <w:rPr>
          <w:rFonts w:ascii="Times New Roman" w:hAnsi="Times New Roman" w:eastAsia="微软雅黑"/>
          <w:sz w:val="24"/>
        </w:rPr>
        <w:t xml:space="preserve">（1）先不借助AI，在草稿纸上画出杜邦分析的三层树状框架，填入A公司与B公司的三因素数值（A：9.8%×1.55×1.64=24.9%；B：9.4%×1.28×2.68=32.2%）。</w:t>
      </w:r>
    </w:p>
    <w:p>
      <w:pPr>
        <w:pStyle w:val="3"/>
      </w:pPr>
      <w:r>
        <w:rPr>
          <w:rFonts w:ascii="Times New Roman" w:hAnsi="Times New Roman" w:eastAsia="微软雅黑"/>
          <w:sz w:val="24"/>
        </w:rPr>
        <w:t xml:space="preserve">（2）做一次敏感性测算：如果B公司将资产负债率降至行业均值（即权益乘数降为1.64），B公司的ROE会变成多少？写出你的测算过程并说明管理含义。</w:t>
      </w:r>
    </w:p>
    <w:p>
      <w:pPr>
        <w:pStyle w:val="3"/>
      </w:pPr>
      <w:r>
        <w:rPr>
          <w:rFonts w:ascii="Times New Roman" w:hAnsi="Times New Roman" w:eastAsia="微软雅黑"/>
          <w:sz w:val="24"/>
        </w:rPr>
        <w:t xml:space="preserve">（3）使用7.3.2的提示词让AI生成Mermaid图表代码或HTML展示页，在本地渲染或预览，核对各节点数据是否与表7-16完全吻合。</w:t>
      </w:r>
    </w:p>
    <w:p>
      <w:pPr>
        <w:pStyle w:val="3"/>
      </w:pPr>
      <w:r>
        <w:rPr>
          <w:rFonts w:ascii="Times New Roman" w:hAnsi="Times New Roman" w:eastAsia="微软雅黑"/>
          <w:sz w:val="24"/>
        </w:rPr>
        <w:t xml:space="preserve">（4）针对两家公司的杜邦拆解结果，分别用一句话概括其战略驱动模式（如“运营效率驱动型” vs “财务杠杆驱动型”），并说明哪种模式在行业下行期更具抗风险韧性。</w:t>
      </w:r>
    </w:p>
    <w:p w14:paraId="3582032C">
      <w:pPr>
        <w:pStyle w:val="4"/>
      </w:pPr>
      <w:bookmarkStart w:id="49" w:name="善学勤思-2"/>
      <w:r>
        <w:rPr>
          <w:rFonts w:ascii="Times New Roman" w:hAnsi="Times New Roman" w:eastAsia="微软雅黑"/>
          <w:sz w:val="24"/>
        </w:rPr>
        <w:t>【善学勤思】</w:t>
      </w:r>
    </w:p>
    <w:p w14:paraId="3F56FE40">
      <w:pPr>
        <w:pStyle w:val="24"/>
        <w:numPr>
          <w:ilvl w:val="0"/>
          <w:numId w:val="5"/>
        </w:numPr>
      </w:pPr>
      <w:r>
        <w:rPr>
          <w:rFonts w:ascii="Times New Roman" w:hAnsi="Times New Roman" w:eastAsia="微软雅黑"/>
          <w:sz w:val="24"/>
        </w:rPr>
        <w:t>杜邦分析将ROE拆成了三个因素。你能举一个实际的例子，说明一家企业可以在净利率和总资产周转率都没有提升的情况下，单靠财务杠杆使ROE大幅提升吗？这种提升是好事吗？</w:t>
      </w:r>
    </w:p>
    <w:p w14:paraId="4037B5C8">
      <w:pPr>
        <w:pStyle w:val="24"/>
        <w:numPr>
          <w:ilvl w:val="0"/>
          <w:numId w:val="5"/>
        </w:numPr>
      </w:pPr>
      <w:r>
        <w:rPr>
          <w:rFonts w:ascii="Times New Roman" w:hAnsi="Times New Roman" w:eastAsia="微软雅黑"/>
          <w:sz w:val="24"/>
        </w:rPr>
        <w:t>图7-4展示了杜邦分析从ROE一直拆解到具体会计科目的结构。这种完整的拆解，对财务分析有什么额外的价值？只看最顶层的三个因素不够吗？</w:t>
      </w:r>
    </w:p>
    <w:p w14:paraId="19E47285">
      <w:pPr>
        <w:pStyle w:val="24"/>
        <w:numPr>
          <w:ilvl w:val="0"/>
          <w:numId w:val="5"/>
        </w:numPr>
      </w:pPr>
      <w:r>
        <w:rPr>
          <w:rFonts w:ascii="Times New Roman" w:hAnsi="Times New Roman" w:eastAsia="微软雅黑"/>
          <w:sz w:val="24"/>
        </w:rPr>
        <w:t>如果你是A公司的CFO，想通过提升ROE来吸引投资者，杜邦分析告诉你应该优先在哪个方向发力？为什么？</w:t>
      </w:r>
    </w:p>
    <w:p w14:paraId="6009B252">
      <w:r>
        <w:pict>
          <v:rect id="_x0000_i1044" o:spt="1" style="height:1.5pt;width:0pt;" coordsize="21600,21600" o:hr="t" o:hrstd="t" o:hralign="center">
            <v:path/>
            <v:fill focussize="0,0"/>
            <v:stroke/>
            <v:imagedata o:title=""/>
            <o:lock v:ext="edit"/>
            <w10:wrap type="none"/>
            <w10:anchorlock/>
          </v:rect>
        </w:pict>
      </w:r>
    </w:p>
    <w:bookmarkEnd w:id="49"/>
    <w:p w14:paraId="1A573744">
      <w:pPr>
        <w:pStyle w:val="2"/>
      </w:pPr>
      <w:bookmarkStart w:id="50" w:name="任务7.4-搭建综合评价智能体"/>
      <w:r>
        <w:rPr>
          <w:rFonts w:ascii="Times New Roman" w:hAnsi="Times New Roman" w:eastAsia="微软雅黑"/>
          <w:sz w:val="24"/>
        </w:rPr>
        <w:t>任务7.4 搭建综合评价智能体</w:t>
      </w:r>
    </w:p>
    <w:p w14:paraId="71C98C2F">
      <w:pPr>
        <w:pStyle w:val="4"/>
      </w:pPr>
      <w:bookmarkStart w:id="51" w:name="设计财务指标综合评价智能体"/>
      <w:r>
        <w:rPr>
          <w:rFonts w:ascii="Times New Roman" w:hAnsi="Times New Roman" w:eastAsia="微软雅黑"/>
          <w:sz w:val="24"/>
        </w:rPr>
        <w:t>7.4.1 设计“财务指标综合评价”智能体</w:t>
      </w:r>
    </w:p>
    <w:p w14:paraId="162141DC">
      <w:pPr>
        <w:pStyle w:val="5"/>
      </w:pPr>
      <w:bookmarkStart w:id="52" w:name="这个智能体要解决什么问题"/>
      <w:r>
        <w:rPr>
          <w:rFonts w:ascii="Times New Roman" w:hAnsi="Times New Roman" w:eastAsia="微软雅黑"/>
          <w:sz w:val="24"/>
        </w:rPr>
        <w:t>1. 这个智能体要解决什么问题</w:t>
      </w:r>
    </w:p>
    <w:p w14:paraId="01698145">
      <w:pPr>
        <w:pStyle w:val="23"/>
      </w:pPr>
      <w:r>
        <w:rPr>
          <w:rFonts w:ascii="Times New Roman" w:hAnsi="Times New Roman" w:eastAsia="微软雅黑"/>
          <w:sz w:val="24"/>
        </w:rPr>
        <w:t>财务比率分析涉及的指标多、计算步骤繁、还需要结合行业参照来判断——这整套流程对没有深厚财务背景的业务人员来说门槛不低。</w:t>
      </w:r>
    </w:p>
    <w:p w14:paraId="2686CDEC">
      <w:pPr>
        <w:pStyle w:val="3"/>
      </w:pPr>
      <w:r>
        <w:rPr>
          <w:rFonts w:ascii="Times New Roman" w:hAnsi="Times New Roman" w:eastAsia="微软雅黑"/>
          <w:sz w:val="24"/>
        </w:rPr>
        <w:t>“财务指标综合评价智能体”的设计初衷，是让这个流程变得可复用：用户输入企业的财务数据，智能体自动计算三类指标、对照行业参考值给出评价、完成杜邦分析、并生成一份结构化的综合评价报告。</w:t>
      </w:r>
    </w:p>
    <w:p w14:paraId="112831A5">
      <w:pPr>
        <w:pStyle w:val="3"/>
      </w:pPr>
      <w:r>
        <w:rPr>
          <w:rFonts w:ascii="Times New Roman" w:hAnsi="Times New Roman" w:eastAsia="微软雅黑"/>
          <w:sz w:val="24"/>
        </w:rPr>
        <w:t>这个场景比项目6的分析报告生成助手更复杂，因为它需要：既能处理用户输入的数值（不一定是文件），也能调用知识库中的行业参考值，还要按固定框架输出分析结果，同时支持两家企业的横向对比。</w:t>
      </w:r>
    </w:p>
    <w:bookmarkEnd w:id="52"/>
    <w:p w14:paraId="716504E6">
      <w:pPr>
        <w:pStyle w:val="5"/>
      </w:pPr>
      <w:bookmarkStart w:id="53" w:name="智能体的完整定位设计"/>
      <w:r>
        <w:rPr>
          <w:rFonts w:ascii="Times New Roman" w:hAnsi="Times New Roman" w:eastAsia="微软雅黑"/>
          <w:sz w:val="24"/>
        </w:rPr>
        <w:t>2. 智能体的完整定位设计</w:t>
      </w:r>
    </w:p>
    <w:p w14:paraId="2A1393DF">
      <w:pPr>
        <w:pStyle w:val="23"/>
      </w:pPr>
      <w:r>
        <w:rPr>
          <w:rFonts w:ascii="Times New Roman" w:hAnsi="Times New Roman" w:eastAsia="微软雅黑"/>
          <w:sz w:val="24"/>
        </w:rPr>
        <w:t>智能体的定位设计见表7-17。</w:t>
      </w:r>
    </w:p>
    <w:p w14:paraId="67E3A5E4">
      <w:pPr>
        <w:jc w:val="center"/>
        <w:pStyle w:val="3"/>
      </w:pPr>
      <w:r>
        <w:rPr>
          <w:rFonts w:ascii="Times New Roman" w:hAnsi="Times New Roman" w:eastAsia="微软雅黑"/>
          <w:b/>
          <w:bCs/>
          <w:sz w:val="24"/>
        </w:rPr>
        <w:t>表7-17 财务指标综合评价智能体定位设计</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960"/>
        <w:gridCol w:w="3960"/>
      </w:tblGrid>
      <w:tr w14:paraId="5871B2F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CE69FA0">
            <w:pPr>
              <w:pStyle w:val="24"/>
              <w:jc w:val="left"/>
            </w:pPr>
            <w:r>
              <w:rPr>
                <w:rFonts w:ascii="Times New Roman" w:hAnsi="Times New Roman" w:eastAsia="微软雅黑"/>
                <w:b/>
                <w:color w:val="1E3A8A"/>
                <w:sz w:val="22"/>
              </w:rPr>
              <w:t>设计维度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1CBAE456">
            <w:pPr>
              <w:pStyle w:val="24"/>
              <w:jc w:val="left"/>
            </w:pPr>
            <w:r>
              <w:rPr>
                <w:rFonts w:ascii="Times New Roman" w:hAnsi="Times New Roman" w:eastAsia="微软雅黑"/>
                <w:b/>
                <w:color w:val="1E3A8A"/>
                <w:sz w:val="22"/>
              </w:rPr>
              <w:t>设计内容</w:t>
            </w:r>
          </w:p>
        </w:tc>
      </w:tr>
      <w:tr w14:paraId="5B391F2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AA4E600">
            <w:pPr>
              <w:pStyle w:val="24"/>
              <w:jc w:val="left"/>
            </w:pPr>
            <w:r>
              <w:rPr>
                <w:rFonts w:ascii="Times New Roman" w:hAnsi="Times New Roman" w:eastAsia="微软雅黑"/>
                <w:sz w:val="22"/>
              </w:rPr>
              <w:t>智能体名称</w:t>
            </w:r>
          </w:p>
        </w:tc>
        <w:tc>
          <w:tcPr>
            <w:tcBorders>
              <w:top w:val="single" w:color="E2E8F0" w:sz="6" w:space="0"/>
              <w:left w:val="single" w:color="E2E8F0" w:sz="6" w:space="0"/>
              <w:bottom w:val="single" w:color="E2E8F0" w:sz="6" w:space="0"/>
              <w:right w:val="single" w:color="E2E8F0" w:sz="6" w:space="0"/>
            </w:tcBorders>
          </w:tcPr>
          <w:p w14:paraId="2CA460E5">
            <w:pPr>
              <w:pStyle w:val="24"/>
              <w:jc w:val="left"/>
            </w:pPr>
            <w:r>
              <w:rPr>
                <w:rFonts w:ascii="Times New Roman" w:hAnsi="Times New Roman" w:eastAsia="微软雅黑"/>
                <w:sz w:val="22"/>
              </w:rPr>
              <w:t>财务指标综合评价助手</w:t>
            </w:r>
          </w:p>
        </w:tc>
      </w:tr>
      <w:tr w14:paraId="010B38E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9279D62">
            <w:pPr>
              <w:pStyle w:val="24"/>
              <w:jc w:val="left"/>
            </w:pPr>
            <w:r>
              <w:rPr>
                <w:rFonts w:ascii="Times New Roman" w:hAnsi="Times New Roman" w:eastAsia="微软雅黑"/>
                <w:sz w:val="22"/>
              </w:rPr>
              <w:t>核心定位</w:t>
            </w:r>
          </w:p>
        </w:tc>
        <w:tc>
          <w:tcPr>
            <w:tcBorders>
              <w:top w:val="single" w:color="E2E8F0" w:sz="6" w:space="0"/>
              <w:left w:val="single" w:color="E2E8F0" w:sz="6" w:space="0"/>
              <w:bottom w:val="single" w:color="E2E8F0" w:sz="6" w:space="0"/>
              <w:right w:val="single" w:color="E2E8F0" w:sz="6" w:space="0"/>
            </w:tcBorders>
            <w:shd w:val="clear" w:color="auto" w:fill="F8FAFC"/>
          </w:tcPr>
          <w:p w14:paraId="0F16DE1F">
            <w:pPr>
              <w:pStyle w:val="24"/>
              <w:jc w:val="left"/>
            </w:pPr>
            <w:r>
              <w:rPr>
                <w:rFonts w:ascii="Times New Roman" w:hAnsi="Times New Roman" w:eastAsia="微软雅黑"/>
                <w:sz w:val="22"/>
              </w:rPr>
              <w:t>基于用户提供的财务数据，计算偿债、营运、盈利三类指标，结合行业参考值给出综合评价</w:t>
            </w:r>
          </w:p>
        </w:tc>
      </w:tr>
      <w:tr w14:paraId="13920F9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45E1551">
            <w:pPr>
              <w:pStyle w:val="24"/>
              <w:jc w:val="left"/>
            </w:pPr>
            <w:r>
              <w:rPr>
                <w:rFonts w:ascii="Times New Roman" w:hAnsi="Times New Roman" w:eastAsia="微软雅黑"/>
                <w:sz w:val="22"/>
              </w:rPr>
              <w:t>目标用户</w:t>
            </w:r>
          </w:p>
        </w:tc>
        <w:tc>
          <w:tcPr>
            <w:tcBorders>
              <w:top w:val="single" w:color="E2E8F0" w:sz="6" w:space="0"/>
              <w:left w:val="single" w:color="E2E8F0" w:sz="6" w:space="0"/>
              <w:bottom w:val="single" w:color="E2E8F0" w:sz="6" w:space="0"/>
              <w:right w:val="single" w:color="E2E8F0" w:sz="6" w:space="0"/>
            </w:tcBorders>
          </w:tcPr>
          <w:p w14:paraId="2DD8249D">
            <w:pPr>
              <w:pStyle w:val="24"/>
              <w:jc w:val="left"/>
            </w:pPr>
            <w:r>
              <w:rPr>
                <w:rFonts w:ascii="Times New Roman" w:hAnsi="Times New Roman" w:eastAsia="微软雅黑"/>
                <w:sz w:val="22"/>
              </w:rPr>
              <w:t>财务分析人员、信贷审查人员、企业管理者</w:t>
            </w:r>
          </w:p>
        </w:tc>
      </w:tr>
      <w:tr w14:paraId="0BFC76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38E45F1">
            <w:pPr>
              <w:pStyle w:val="24"/>
              <w:jc w:val="left"/>
            </w:pPr>
            <w:r>
              <w:rPr>
                <w:rFonts w:ascii="Times New Roman" w:hAnsi="Times New Roman" w:eastAsia="微软雅黑"/>
                <w:sz w:val="22"/>
              </w:rPr>
              <w:t>支持的分析场景</w:t>
            </w:r>
          </w:p>
        </w:tc>
        <w:tc>
          <w:tcPr>
            <w:tcBorders>
              <w:top w:val="single" w:color="E2E8F0" w:sz="6" w:space="0"/>
              <w:left w:val="single" w:color="E2E8F0" w:sz="6" w:space="0"/>
              <w:bottom w:val="single" w:color="E2E8F0" w:sz="6" w:space="0"/>
              <w:right w:val="single" w:color="E2E8F0" w:sz="6" w:space="0"/>
            </w:tcBorders>
            <w:shd w:val="clear" w:color="auto" w:fill="F8FAFC"/>
          </w:tcPr>
          <w:p w14:paraId="361008BE">
            <w:pPr>
              <w:pStyle w:val="24"/>
              <w:jc w:val="left"/>
            </w:pPr>
            <w:r>
              <w:rPr>
                <w:rFonts w:ascii="Times New Roman" w:hAnsi="Times New Roman" w:eastAsia="微软雅黑"/>
                <w:sz w:val="22"/>
              </w:rPr>
              <w:t>单家企业综合评价；两家同行企业横向对比</w:t>
            </w:r>
          </w:p>
        </w:tc>
      </w:tr>
      <w:tr w14:paraId="277D750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E8D6ACF">
            <w:pPr>
              <w:pStyle w:val="24"/>
              <w:jc w:val="left"/>
            </w:pPr>
            <w:r>
              <w:rPr>
                <w:rFonts w:ascii="Times New Roman" w:hAnsi="Times New Roman" w:eastAsia="微软雅黑"/>
                <w:sz w:val="22"/>
              </w:rPr>
              <w:t>核心输出</w:t>
            </w:r>
          </w:p>
        </w:tc>
        <w:tc>
          <w:tcPr>
            <w:tcBorders>
              <w:top w:val="single" w:color="E2E8F0" w:sz="6" w:space="0"/>
              <w:left w:val="single" w:color="E2E8F0" w:sz="6" w:space="0"/>
              <w:bottom w:val="single" w:color="E2E8F0" w:sz="6" w:space="0"/>
              <w:right w:val="single" w:color="E2E8F0" w:sz="6" w:space="0"/>
            </w:tcBorders>
          </w:tcPr>
          <w:p w14:paraId="25DA7D04">
            <w:pPr>
              <w:pStyle w:val="24"/>
              <w:jc w:val="left"/>
            </w:pPr>
            <w:r>
              <w:rPr>
                <w:rFonts w:ascii="Times New Roman" w:hAnsi="Times New Roman" w:eastAsia="微软雅黑"/>
                <w:sz w:val="22"/>
              </w:rPr>
              <w:t>指标计算表 + 行业参考对比评价 + 杜邦分析拆解 + 综合结论</w:t>
            </w:r>
          </w:p>
        </w:tc>
      </w:tr>
      <w:tr w14:paraId="1AD2EB7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3B50E85">
            <w:pPr>
              <w:pStyle w:val="24"/>
              <w:jc w:val="left"/>
            </w:pPr>
            <w:r>
              <w:rPr>
                <w:rFonts w:ascii="Times New Roman" w:hAnsi="Times New Roman" w:eastAsia="微软雅黑"/>
                <w:sz w:val="22"/>
              </w:rPr>
              <w:t>配置要求</w:t>
            </w:r>
          </w:p>
        </w:tc>
        <w:tc>
          <w:tcPr>
            <w:tcBorders>
              <w:top w:val="single" w:color="E2E8F0" w:sz="6" w:space="0"/>
              <w:left w:val="single" w:color="E2E8F0" w:sz="6" w:space="0"/>
              <w:bottom w:val="single" w:color="E2E8F0" w:sz="6" w:space="0"/>
              <w:right w:val="single" w:color="E2E8F0" w:sz="6" w:space="0"/>
            </w:tcBorders>
            <w:shd w:val="clear" w:color="auto" w:fill="F8FAFC"/>
          </w:tcPr>
          <w:p w14:paraId="0E08FDB8">
            <w:pPr>
              <w:pStyle w:val="24"/>
              <w:jc w:val="left"/>
            </w:pPr>
            <w:r>
              <w:rPr>
                <w:rFonts w:ascii="Times New Roman" w:hAnsi="Times New Roman" w:eastAsia="微软雅黑"/>
                <w:sz w:val="22"/>
              </w:rPr>
              <w:t>系统提示词 + 行业参照知识库</w:t>
            </w:r>
          </w:p>
        </w:tc>
      </w:tr>
      <w:tr w14:paraId="7FE7BA0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9CB0432">
            <w:pPr>
              <w:pStyle w:val="24"/>
              <w:jc w:val="left"/>
            </w:pPr>
            <w:r>
              <w:rPr>
                <w:rFonts w:ascii="Times New Roman" w:hAnsi="Times New Roman" w:eastAsia="微软雅黑"/>
                <w:sz w:val="22"/>
              </w:rPr>
              <w:t>能力边界</w:t>
            </w:r>
          </w:p>
        </w:tc>
        <w:tc>
          <w:tcPr>
            <w:tcBorders>
              <w:top w:val="single" w:color="E2E8F0" w:sz="6" w:space="0"/>
              <w:left w:val="single" w:color="E2E8F0" w:sz="6" w:space="0"/>
              <w:bottom w:val="single" w:color="E2E8F0" w:sz="6" w:space="0"/>
              <w:right w:val="single" w:color="E2E8F0" w:sz="6" w:space="0"/>
            </w:tcBorders>
          </w:tcPr>
          <w:p w14:paraId="4CD963B2">
            <w:pPr>
              <w:pStyle w:val="24"/>
              <w:jc w:val="left"/>
            </w:pPr>
            <w:r>
              <w:rPr>
                <w:rFonts w:ascii="Times New Roman" w:hAnsi="Times New Roman" w:eastAsia="微软雅黑"/>
                <w:sz w:val="22"/>
              </w:rPr>
              <w:t>不做预测性分析；单期数据分析不考察趋势；行业参考值为参考区间，最终判断需结合企业具体情况</w:t>
            </w:r>
          </w:p>
        </w:tc>
      </w:tr>
      <w:bookmarkEnd w:id="53"/>
    </w:tbl>
    <w:p w14:paraId="3FA82D7D">
      <w:pPr>
        <w:pStyle w:val="5"/>
      </w:pPr>
      <w:bookmarkStart w:id="54" w:name="三个项目智能体能力的对比"/>
      <w:r>
        <w:rPr>
          <w:rFonts w:ascii="Times New Roman" w:hAnsi="Times New Roman" w:eastAsia="微软雅黑"/>
          <w:sz w:val="24"/>
        </w:rPr>
        <w:t>3. 三个项目智能体能力的对比</w:t>
      </w:r>
    </w:p>
    <w:p w14:paraId="65FE1A66">
      <w:pPr>
        <w:pStyle w:val="23"/>
      </w:pPr>
      <w:r>
        <w:rPr>
          <w:rFonts w:ascii="Times New Roman" w:hAnsi="Times New Roman" w:eastAsia="微软雅黑"/>
          <w:sz w:val="24"/>
        </w:rPr>
        <w:t>从项目5到项目7，三个智能体的能力在逐步提升，见表7-18。</w:t>
      </w:r>
    </w:p>
    <w:p w14:paraId="2D23732C">
      <w:pPr>
        <w:jc w:val="center"/>
        <w:pStyle w:val="3"/>
      </w:pPr>
      <w:r>
        <w:rPr>
          <w:rFonts w:ascii="Times New Roman" w:hAnsi="Times New Roman" w:eastAsia="微软雅黑"/>
          <w:b/>
          <w:bCs/>
          <w:sz w:val="24"/>
        </w:rPr>
        <w:t>表7-18 三个项目智能体能力对比</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67"/>
        <w:gridCol w:w="1900"/>
        <w:gridCol w:w="1742"/>
        <w:gridCol w:w="1584"/>
        <w:gridCol w:w="1425"/>
      </w:tblGrid>
      <w:tr w14:paraId="5E1DD02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10E8F47">
            <w:pPr>
              <w:pStyle w:val="24"/>
              <w:jc w:val="left"/>
            </w:pPr>
            <w:r>
              <w:rPr>
                <w:rFonts w:ascii="Times New Roman" w:hAnsi="Times New Roman" w:eastAsia="微软雅黑"/>
                <w:b/>
                <w:color w:val="1E3A8A"/>
                <w:sz w:val="22"/>
              </w:rPr>
              <w:t>智能体</w:t>
            </w:r>
          </w:p>
        </w:tc>
        <w:tc>
          <w:tcPr>
            <w:tcBorders>
              <w:top w:val="single" w:color="E2E8F0" w:sz="6" w:space="0"/>
              <w:left w:val="single" w:color="E2E8F0" w:sz="6" w:space="0"/>
              <w:bottom w:val="single" w:color="E2E8F0" w:sz="6" w:space="0"/>
              <w:right w:val="single" w:color="E2E8F0" w:sz="6" w:space="0"/>
            </w:tcBorders>
            <w:shd w:val="clear" w:color="auto" w:fill="EEF4FF"/>
          </w:tcPr>
          <w:p w14:paraId="663B8610">
            <w:pPr>
              <w:pStyle w:val="24"/>
              <w:jc w:val="left"/>
            </w:pPr>
            <w:r>
              <w:rPr>
                <w:rFonts w:ascii="Times New Roman" w:hAnsi="Times New Roman" w:eastAsia="微软雅黑"/>
                <w:b/>
                <w:color w:val="1E3A8A"/>
                <w:sz w:val="22"/>
              </w:rPr>
              <w:t>主要输入方式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379E3AE4">
            <w:pPr>
              <w:pStyle w:val="24"/>
              <w:jc w:val="left"/>
            </w:pPr>
            <w:r>
              <w:rPr>
                <w:rFonts w:ascii="Times New Roman" w:hAnsi="Times New Roman" w:eastAsia="微软雅黑"/>
                <w:b/>
                <w:color w:val="1E3A8A"/>
                <w:sz w:val="22"/>
              </w:rPr>
              <w:t>知识库作用</w:t>
            </w:r>
          </w:p>
        </w:tc>
        <w:tc>
          <w:tcPr>
            <w:tcBorders>
              <w:top w:val="single" w:color="E2E8F0" w:sz="6" w:space="0"/>
              <w:left w:val="single" w:color="E2E8F0" w:sz="6" w:space="0"/>
              <w:bottom w:val="single" w:color="E2E8F0" w:sz="6" w:space="0"/>
              <w:right w:val="single" w:color="E2E8F0" w:sz="6" w:space="0"/>
            </w:tcBorders>
            <w:shd w:val="clear" w:color="auto" w:fill="EEF4FF"/>
          </w:tcPr>
          <w:p w14:paraId="286BA19F">
            <w:pPr>
              <w:pStyle w:val="24"/>
              <w:jc w:val="left"/>
            </w:pPr>
            <w:r>
              <w:rPr>
                <w:rFonts w:ascii="Times New Roman" w:hAnsi="Times New Roman" w:eastAsia="微软雅黑"/>
                <w:b/>
                <w:color w:val="1E3A8A"/>
                <w:sz w:val="22"/>
              </w:rPr>
              <w:t>分析深度</w:t>
            </w:r>
          </w:p>
        </w:tc>
        <w:tc>
          <w:tcPr>
            <w:tcBorders>
              <w:top w:val="single" w:color="E2E8F0" w:sz="6" w:space="0"/>
              <w:left w:val="single" w:color="E2E8F0" w:sz="6" w:space="0"/>
              <w:bottom w:val="single" w:color="E2E8F0" w:sz="6" w:space="0"/>
              <w:right w:val="single" w:color="E2E8F0" w:sz="6" w:space="0"/>
            </w:tcBorders>
            <w:shd w:val="clear" w:color="auto" w:fill="EEF4FF"/>
          </w:tcPr>
          <w:p w14:paraId="4987C01C">
            <w:pPr>
              <w:pStyle w:val="24"/>
              <w:jc w:val="left"/>
            </w:pPr>
            <w:r>
              <w:rPr>
                <w:rFonts w:ascii="Times New Roman" w:hAnsi="Times New Roman" w:eastAsia="微软雅黑"/>
                <w:b/>
                <w:color w:val="1E3A8A"/>
                <w:sz w:val="22"/>
              </w:rPr>
              <w:t>主要难点</w:t>
            </w:r>
          </w:p>
        </w:tc>
      </w:tr>
      <w:tr w14:paraId="0B6C51C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982614F">
            <w:pPr>
              <w:pStyle w:val="24"/>
              <w:jc w:val="left"/>
            </w:pPr>
            <w:r>
              <w:rPr>
                <w:rFonts w:ascii="Times New Roman" w:hAnsi="Times New Roman" w:eastAsia="微软雅黑"/>
                <w:sz w:val="22"/>
              </w:rPr>
              <w:t>项目5：数据质量诊断助手</w:t>
            </w:r>
          </w:p>
        </w:tc>
        <w:tc>
          <w:tcPr>
            <w:tcBorders>
              <w:top w:val="single" w:color="E2E8F0" w:sz="6" w:space="0"/>
              <w:left w:val="single" w:color="E2E8F0" w:sz="6" w:space="0"/>
              <w:bottom w:val="single" w:color="E2E8F0" w:sz="6" w:space="0"/>
              <w:right w:val="single" w:color="E2E8F0" w:sz="6" w:space="0"/>
            </w:tcBorders>
          </w:tcPr>
          <w:p w14:paraId="41251B49">
            <w:pPr>
              <w:pStyle w:val="24"/>
              <w:jc w:val="left"/>
            </w:pPr>
            <w:r>
              <w:rPr>
                <w:rFonts w:ascii="Times New Roman" w:hAnsi="Times New Roman" w:eastAsia="微软雅黑"/>
                <w:sz w:val="22"/>
              </w:rPr>
              <w:t>用户文字描述</w:t>
            </w:r>
          </w:p>
        </w:tc>
        <w:tc>
          <w:tcPr>
            <w:tcBorders>
              <w:top w:val="single" w:color="E2E8F0" w:sz="6" w:space="0"/>
              <w:left w:val="single" w:color="E2E8F0" w:sz="6" w:space="0"/>
              <w:bottom w:val="single" w:color="E2E8F0" w:sz="6" w:space="0"/>
              <w:right w:val="single" w:color="E2E8F0" w:sz="6" w:space="0"/>
            </w:tcBorders>
          </w:tcPr>
          <w:p w14:paraId="02C61E8F">
            <w:pPr>
              <w:pStyle w:val="24"/>
              <w:jc w:val="left"/>
            </w:pPr>
            <w:r>
              <w:rPr>
                <w:rFonts w:ascii="Times New Roman" w:hAnsi="Times New Roman" w:eastAsia="微软雅黑"/>
                <w:sz w:val="22"/>
              </w:rPr>
              <w:t>提供诊断规则</w:t>
            </w:r>
          </w:p>
        </w:tc>
        <w:tc>
          <w:tcPr>
            <w:tcBorders>
              <w:top w:val="single" w:color="E2E8F0" w:sz="6" w:space="0"/>
              <w:left w:val="single" w:color="E2E8F0" w:sz="6" w:space="0"/>
              <w:bottom w:val="single" w:color="E2E8F0" w:sz="6" w:space="0"/>
              <w:right w:val="single" w:color="E2E8F0" w:sz="6" w:space="0"/>
            </w:tcBorders>
          </w:tcPr>
          <w:p w14:paraId="5BD1B0E3">
            <w:pPr>
              <w:pStyle w:val="24"/>
              <w:jc w:val="left"/>
            </w:pPr>
            <w:r>
              <w:rPr>
                <w:rFonts w:ascii="Times New Roman" w:hAnsi="Times New Roman" w:eastAsia="微软雅黑"/>
                <w:sz w:val="22"/>
              </w:rPr>
              <w:t>问题识别和建议</w:t>
            </w:r>
          </w:p>
        </w:tc>
        <w:tc>
          <w:tcPr>
            <w:tcBorders>
              <w:top w:val="single" w:color="E2E8F0" w:sz="6" w:space="0"/>
              <w:left w:val="single" w:color="E2E8F0" w:sz="6" w:space="0"/>
              <w:bottom w:val="single" w:color="E2E8F0" w:sz="6" w:space="0"/>
              <w:right w:val="single" w:color="E2E8F0" w:sz="6" w:space="0"/>
            </w:tcBorders>
          </w:tcPr>
          <w:p w14:paraId="67FA7A5B">
            <w:pPr>
              <w:pStyle w:val="24"/>
              <w:jc w:val="left"/>
            </w:pPr>
            <w:r>
              <w:rPr>
                <w:rFonts w:ascii="Times New Roman" w:hAnsi="Times New Roman" w:eastAsia="微软雅黑"/>
                <w:sz w:val="22"/>
              </w:rPr>
              <w:t>系统提示词的规则描述</w:t>
            </w:r>
          </w:p>
        </w:tc>
      </w:tr>
      <w:tr w14:paraId="06B6150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7DF8B43">
            <w:pPr>
              <w:pStyle w:val="24"/>
              <w:jc w:val="left"/>
            </w:pPr>
            <w:r>
              <w:rPr>
                <w:rFonts w:ascii="Times New Roman" w:hAnsi="Times New Roman" w:eastAsia="微软雅黑"/>
                <w:sz w:val="22"/>
              </w:rPr>
              <w:t>项目6：分析报告生成助手</w:t>
            </w:r>
          </w:p>
        </w:tc>
        <w:tc>
          <w:tcPr>
            <w:tcBorders>
              <w:top w:val="single" w:color="E2E8F0" w:sz="6" w:space="0"/>
              <w:left w:val="single" w:color="E2E8F0" w:sz="6" w:space="0"/>
              <w:bottom w:val="single" w:color="E2E8F0" w:sz="6" w:space="0"/>
              <w:right w:val="single" w:color="E2E8F0" w:sz="6" w:space="0"/>
            </w:tcBorders>
            <w:shd w:val="clear" w:color="auto" w:fill="F8FAFC"/>
          </w:tcPr>
          <w:p w14:paraId="1F621827">
            <w:pPr>
              <w:pStyle w:val="24"/>
              <w:jc w:val="left"/>
            </w:pPr>
            <w:r>
              <w:rPr>
                <w:rFonts w:ascii="Times New Roman" w:hAnsi="Times New Roman" w:eastAsia="微软雅黑"/>
                <w:sz w:val="22"/>
              </w:rPr>
              <w:t>上传数据文件</w:t>
            </w:r>
          </w:p>
        </w:tc>
        <w:tc>
          <w:tcPr>
            <w:tcBorders>
              <w:top w:val="single" w:color="E2E8F0" w:sz="6" w:space="0"/>
              <w:left w:val="single" w:color="E2E8F0" w:sz="6" w:space="0"/>
              <w:bottom w:val="single" w:color="E2E8F0" w:sz="6" w:space="0"/>
              <w:right w:val="single" w:color="E2E8F0" w:sz="6" w:space="0"/>
            </w:tcBorders>
            <w:shd w:val="clear" w:color="auto" w:fill="F8FAFC"/>
          </w:tcPr>
          <w:p w14:paraId="1F63B0A0">
            <w:pPr>
              <w:pStyle w:val="24"/>
              <w:jc w:val="left"/>
            </w:pPr>
            <w:r>
              <w:rPr>
                <w:rFonts w:ascii="Times New Roman" w:hAnsi="Times New Roman" w:eastAsia="微软雅黑"/>
                <w:sz w:val="22"/>
              </w:rPr>
              <w:t>提供分析框架示例</w:t>
            </w:r>
          </w:p>
        </w:tc>
        <w:tc>
          <w:tcPr>
            <w:tcBorders>
              <w:top w:val="single" w:color="E2E8F0" w:sz="6" w:space="0"/>
              <w:left w:val="single" w:color="E2E8F0" w:sz="6" w:space="0"/>
              <w:bottom w:val="single" w:color="E2E8F0" w:sz="6" w:space="0"/>
              <w:right w:val="single" w:color="E2E8F0" w:sz="6" w:space="0"/>
            </w:tcBorders>
            <w:shd w:val="clear" w:color="auto" w:fill="F8FAFC"/>
          </w:tcPr>
          <w:p w14:paraId="5350D9E0">
            <w:pPr>
              <w:pStyle w:val="24"/>
              <w:jc w:val="left"/>
            </w:pPr>
            <w:r>
              <w:rPr>
                <w:rFonts w:ascii="Times New Roman" w:hAnsi="Times New Roman" w:eastAsia="微软雅黑"/>
                <w:sz w:val="22"/>
              </w:rPr>
              <w:t>指标计算和报告生成</w:t>
            </w:r>
          </w:p>
        </w:tc>
        <w:tc>
          <w:tcPr>
            <w:tcBorders>
              <w:top w:val="single" w:color="E2E8F0" w:sz="6" w:space="0"/>
              <w:left w:val="single" w:color="E2E8F0" w:sz="6" w:space="0"/>
              <w:bottom w:val="single" w:color="E2E8F0" w:sz="6" w:space="0"/>
              <w:right w:val="single" w:color="E2E8F0" w:sz="6" w:space="0"/>
            </w:tcBorders>
            <w:shd w:val="clear" w:color="auto" w:fill="F8FAFC"/>
          </w:tcPr>
          <w:p w14:paraId="5E82D370">
            <w:pPr>
              <w:pStyle w:val="24"/>
              <w:jc w:val="left"/>
            </w:pPr>
            <w:r>
              <w:rPr>
                <w:rFonts w:ascii="Times New Roman" w:hAnsi="Times New Roman" w:eastAsia="微软雅黑"/>
                <w:sz w:val="22"/>
              </w:rPr>
              <w:t>文件处理和格式输出</w:t>
            </w:r>
          </w:p>
        </w:tc>
      </w:tr>
      <w:tr w14:paraId="53CE05D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007F0AA">
            <w:pPr>
              <w:pStyle w:val="24"/>
              <w:jc w:val="left"/>
            </w:pPr>
            <w:r>
              <w:rPr>
                <w:rFonts w:ascii="Times New Roman" w:hAnsi="Times New Roman" w:eastAsia="微软雅黑"/>
                <w:sz w:val="22"/>
              </w:rPr>
              <w:t>项目7：综合评价助手</w:t>
            </w:r>
          </w:p>
        </w:tc>
        <w:tc>
          <w:tcPr>
            <w:tcBorders>
              <w:top w:val="single" w:color="E2E8F0" w:sz="6" w:space="0"/>
              <w:left w:val="single" w:color="E2E8F0" w:sz="6" w:space="0"/>
              <w:bottom w:val="single" w:color="E2E8F0" w:sz="6" w:space="0"/>
              <w:right w:val="single" w:color="E2E8F0" w:sz="6" w:space="0"/>
            </w:tcBorders>
          </w:tcPr>
          <w:p w14:paraId="52BF831A">
            <w:pPr>
              <w:pStyle w:val="24"/>
              <w:jc w:val="left"/>
            </w:pPr>
            <w:r>
              <w:rPr>
                <w:rFonts w:ascii="Times New Roman" w:hAnsi="Times New Roman" w:eastAsia="微软雅黑"/>
                <w:sz w:val="22"/>
              </w:rPr>
              <w:t>用户输入数值或文件</w:t>
            </w:r>
          </w:p>
        </w:tc>
        <w:tc>
          <w:tcPr>
            <w:tcBorders>
              <w:top w:val="single" w:color="E2E8F0" w:sz="6" w:space="0"/>
              <w:left w:val="single" w:color="E2E8F0" w:sz="6" w:space="0"/>
              <w:bottom w:val="single" w:color="E2E8F0" w:sz="6" w:space="0"/>
              <w:right w:val="single" w:color="E2E8F0" w:sz="6" w:space="0"/>
            </w:tcBorders>
          </w:tcPr>
          <w:p w14:paraId="4D450134">
            <w:pPr>
              <w:pStyle w:val="24"/>
              <w:jc w:val="left"/>
            </w:pPr>
            <w:r>
              <w:rPr>
                <w:rFonts w:ascii="Times New Roman" w:hAnsi="Times New Roman" w:eastAsia="微软雅黑"/>
                <w:sz w:val="22"/>
              </w:rPr>
              <w:t>提供行业参照数据</w:t>
            </w:r>
          </w:p>
        </w:tc>
        <w:tc>
          <w:tcPr>
            <w:tcBorders>
              <w:top w:val="single" w:color="E2E8F0" w:sz="6" w:space="0"/>
              <w:left w:val="single" w:color="E2E8F0" w:sz="6" w:space="0"/>
              <w:bottom w:val="single" w:color="E2E8F0" w:sz="6" w:space="0"/>
              <w:right w:val="single" w:color="E2E8F0" w:sz="6" w:space="0"/>
            </w:tcBorders>
          </w:tcPr>
          <w:p w14:paraId="023539C8">
            <w:pPr>
              <w:pStyle w:val="24"/>
              <w:jc w:val="left"/>
            </w:pPr>
            <w:r>
              <w:rPr>
                <w:rFonts w:ascii="Times New Roman" w:hAnsi="Times New Roman" w:eastAsia="微软雅黑"/>
                <w:sz w:val="22"/>
              </w:rPr>
              <w:t>比率计算、行业对比、杜邦分析</w:t>
            </w:r>
          </w:p>
        </w:tc>
        <w:tc>
          <w:tcPr>
            <w:tcBorders>
              <w:top w:val="single" w:color="E2E8F0" w:sz="6" w:space="0"/>
              <w:left w:val="single" w:color="E2E8F0" w:sz="6" w:space="0"/>
              <w:bottom w:val="single" w:color="E2E8F0" w:sz="6" w:space="0"/>
              <w:right w:val="single" w:color="E2E8F0" w:sz="6" w:space="0"/>
            </w:tcBorders>
          </w:tcPr>
          <w:p w14:paraId="31655052">
            <w:pPr>
              <w:pStyle w:val="24"/>
              <w:jc w:val="left"/>
            </w:pPr>
            <w:r>
              <w:rPr>
                <w:rFonts w:ascii="Times New Roman" w:hAnsi="Times New Roman" w:eastAsia="微软雅黑"/>
                <w:sz w:val="22"/>
              </w:rPr>
              <w:t>知识库与分析逻辑的结合</w:t>
            </w:r>
          </w:p>
        </w:tc>
      </w:tr>
    </w:tbl>
    <w:p w14:paraId="14260D00">
      <w:r>
        <w:pict>
          <v:rect id="_x0000_i1045" o:spt="1" style="height:1.5pt;width:0pt;" coordsize="21600,21600" o:hr="t" o:hrstd="t" o:hralign="center">
            <v:path/>
            <v:fill focussize="0,0"/>
            <v:stroke/>
            <v:imagedata o:title=""/>
            <o:lock v:ext="edit"/>
            <w10:wrap type="none"/>
            <w10:anchorlock/>
          </v:rect>
        </w:pict>
      </w:r>
    </w:p>
    <w:bookmarkEnd w:id="51"/>
    <w:bookmarkEnd w:id="54"/>
    <w:p w14:paraId="08EB00C2">
      <w:pPr>
        <w:pStyle w:val="4"/>
      </w:pPr>
      <w:bookmarkStart w:id="55" w:name="引入行业参照知识库"/>
      <w:r>
        <w:rPr>
          <w:rFonts w:ascii="Times New Roman" w:hAnsi="Times New Roman" w:eastAsia="微软雅黑"/>
          <w:sz w:val="24"/>
        </w:rPr>
        <w:t>7.4.2 引入行业参照知识库</w:t>
      </w:r>
    </w:p>
    <w:p w14:paraId="00F1BAAC">
      <w:pPr>
        <w:pStyle w:val="5"/>
      </w:pPr>
      <w:bookmarkStart w:id="56" w:name="行业参照知识库的特殊价值"/>
      <w:r>
        <w:rPr>
          <w:rFonts w:ascii="Times New Roman" w:hAnsi="Times New Roman" w:eastAsia="微软雅黑"/>
          <w:sz w:val="24"/>
        </w:rPr>
        <w:t>1. 行业参照知识库的特殊价值</w:t>
      </w:r>
    </w:p>
    <w:p w14:paraId="3BD18481">
      <w:pPr>
        <w:pStyle w:val="23"/>
      </w:pPr>
      <w:r>
        <w:rPr>
          <w:rFonts w:ascii="Times New Roman" w:hAnsi="Times New Roman" w:eastAsia="微软雅黑"/>
          <w:sz w:val="24"/>
        </w:rPr>
        <w:t>在前两个智能体中，知识库的作用是提供操作规则和分析框架。在这个智能体里，知识库的作用是提供</w:t>
      </w:r>
      <w:r>
        <w:rPr>
          <w:rFonts w:ascii="Times New Roman" w:hAnsi="Times New Roman" w:eastAsia="微软雅黑"/>
          <w:b/>
          <w:bCs/>
          <w:sz w:val="24"/>
        </w:rPr>
        <w:t>数据性参考内容</w:t>
      </w:r>
      <w:r>
        <w:rPr>
          <w:rFonts w:ascii="Times New Roman" w:hAnsi="Times New Roman" w:eastAsia="微软雅黑"/>
          <w:sz w:val="24"/>
        </w:rPr>
        <w:t>——让智能体在做出“这个指标偏高/偏低/正常”的判断时，有具体的数字依据，而不是凭通用训练知识泛泛作答。</w:t>
      </w:r>
    </w:p>
    <w:p w14:paraId="0C5DF910">
      <w:pPr>
        <w:pStyle w:val="3"/>
      </w:pPr>
      <w:r>
        <w:rPr>
          <w:rFonts w:ascii="Times New Roman" w:hAnsi="Times New Roman" w:eastAsia="微软雅黑"/>
          <w:sz w:val="24"/>
        </w:rPr>
        <w:t>没有行业参照知识库，智能体对餐饮企业流动比率1.2的评价可能是“低于通常的2倍参考标准，有一定风险”——这个判断对制造业可能合理，但对餐饮行业来说流动比率1.2完全正常（因为餐饮是现金收款行业，流动负债中有大量应付供应商款项）。有了行业参照数据，智能体就能给出更准确的判断。</w:t>
      </w:r>
    </w:p>
    <w:bookmarkEnd w:id="56"/>
    <w:p w14:paraId="4326AC03">
      <w:pPr>
        <w:pStyle w:val="5"/>
      </w:pPr>
      <w:bookmarkStart w:id="57" w:name="行业参照知识库的内容设计"/>
      <w:r>
        <w:rPr>
          <w:rFonts w:ascii="Times New Roman" w:hAnsi="Times New Roman" w:eastAsia="微软雅黑"/>
          <w:sz w:val="24"/>
        </w:rPr>
        <w:t>2. 行业参照知识库的内容设计</w:t>
      </w:r>
    </w:p>
    <w:p w14:paraId="3E76E9C0">
      <w:pPr>
        <w:pStyle w:val="23"/>
      </w:pPr>
      <w:r>
        <w:rPr>
          <w:rFonts w:ascii="Times New Roman" w:hAnsi="Times New Roman" w:eastAsia="微软雅黑"/>
          <w:sz w:val="24"/>
        </w:rPr>
        <w:t>知识库文档的设计原则是：</w:t>
      </w:r>
      <w:r>
        <w:rPr>
          <w:rFonts w:ascii="Times New Roman" w:hAnsi="Times New Roman" w:eastAsia="微软雅黑"/>
          <w:b/>
          <w:bCs/>
          <w:sz w:val="24"/>
        </w:rPr>
        <w:t>精准而非全面</w:t>
      </w:r>
      <w:r>
        <w:rPr>
          <w:rFonts w:ascii="Times New Roman" w:hAnsi="Times New Roman" w:eastAsia="微软雅黑"/>
          <w:sz w:val="24"/>
        </w:rPr>
        <w:t>。不要试图把所有行业的所有指标都写进去，而是为目标使用场景覆盖最常分析的几个行业，每个行业的数据要有来源标注。</w:t>
      </w:r>
    </w:p>
    <w:p w14:paraId="1095054A">
      <w:pPr>
        <w:pStyle w:val="3"/>
      </w:pPr>
      <w:r>
        <w:rPr>
          <w:rFonts w:ascii="Times New Roman" w:hAnsi="Times New Roman" w:eastAsia="微软雅黑"/>
          <w:sz w:val="24"/>
        </w:rPr>
        <w:t>以餐饮行业知识库文档为例，内容结构如下：</w:t>
      </w:r>
    </w:p>
    <w:p w14:paraId="6D2C85AA">
      <w:r>
        <w:pict>
          <v:rect id="_x0000_i1046" o:spt="1" style="height:1.5pt;width:0pt;" coordsize="21600,21600" o:hr="t" o:hrstd="t" o:hralign="center">
            <v:path/>
            <v:fill focussize="0,0"/>
            <v:stroke/>
            <v:imagedata o:title=""/>
            <o:lock v:ext="edit"/>
            <w10:wrap type="none"/>
            <w10:anchorlock/>
          </v:rect>
        </w:pict>
      </w:r>
    </w:p>
    <w:p w14:paraId="52DB41D0">
      <w:pPr>
        <w:pStyle w:val="13"/>
      </w:pPr>
      <w:r>
        <w:rPr>
          <w:rFonts w:ascii="Times New Roman" w:hAnsi="Times New Roman" w:eastAsia="微软雅黑"/>
          <w:b/>
          <w:bCs/>
          <w:sz w:val="24"/>
        </w:rPr>
        <w:t>餐饮行业财务指标参考数据</w:t>
      </w:r>
    </w:p>
    <w:p w14:paraId="64DB7DD9">
      <w:pPr>
        <w:pStyle w:val="13"/>
      </w:pPr>
      <w:r>
        <w:rPr>
          <w:rFonts w:ascii="Times New Roman" w:hAnsi="Times New Roman" w:eastAsia="微软雅黑"/>
          <w:b/>
          <w:bCs/>
          <w:sz w:val="24"/>
        </w:rPr>
        <w:t>数据来源说明</w:t>
      </w:r>
      <w:r>
        <w:rPr>
          <w:rFonts w:ascii="Times New Roman" w:hAnsi="Times New Roman" w:eastAsia="微软雅黑"/>
          <w:sz w:val="24"/>
        </w:rPr>
        <w:t>：以下数据综合参考国家统计局餐饮行业统计数据、A股餐饮上市公司年报（2022—2023年）以及行业研究报告，代表连锁餐饮企业的大致水平，具体企业因规模、商业模式不同存在差异。</w:t>
      </w:r>
    </w:p>
    <w:p w14:paraId="5AA42A6A">
      <w:pPr>
        <w:pStyle w:val="13"/>
      </w:pPr>
      <w:r>
        <w:rPr>
          <w:rFonts w:ascii="Times New Roman" w:hAnsi="Times New Roman" w:eastAsia="微软雅黑"/>
          <w:b/>
          <w:bCs/>
          <w:sz w:val="24"/>
        </w:rPr>
        <w:t>一、短期偿债能力</w:t>
      </w:r>
    </w:p>
    <w:p w14:paraId="7A9DCF62">
      <w:pPr>
        <w:pStyle w:val="24"/>
        <w:numPr>
          <w:ilvl w:val="0"/>
          <w:numId w:val="1"/>
        </w:numPr>
      </w:pPr>
      <w:r>
        <w:rPr>
          <w:rFonts w:ascii="Times New Roman" w:hAnsi="Times New Roman" w:eastAsia="微软雅黑"/>
          <w:sz w:val="24"/>
        </w:rPr>
        <w:t>流动比率：0.8—1.5（餐饮以现金结算为主，流动负债中含大量预收款和应付账款，流动比率偏低属正常）</w:t>
      </w:r>
    </w:p>
    <w:p w14:paraId="56ED78EC">
      <w:pPr>
        <w:pStyle w:val="24"/>
        <w:numPr>
          <w:ilvl w:val="0"/>
          <w:numId w:val="1"/>
        </w:numPr>
      </w:pPr>
      <w:r>
        <w:rPr>
          <w:rFonts w:ascii="Times New Roman" w:hAnsi="Times New Roman" w:eastAsia="微软雅黑"/>
          <w:sz w:val="24"/>
        </w:rPr>
        <w:t>速动比率：0.5—1.0</w:t>
      </w:r>
    </w:p>
    <w:p w14:paraId="07881A9C">
      <w:pPr>
        <w:pStyle w:val="24"/>
        <w:numPr>
          <w:ilvl w:val="0"/>
          <w:numId w:val="1"/>
        </w:numPr>
      </w:pPr>
      <w:r>
        <w:rPr>
          <w:rFonts w:ascii="Times New Roman" w:hAnsi="Times New Roman" w:eastAsia="微软雅黑"/>
          <w:sz w:val="24"/>
        </w:rPr>
        <w:t>资产负债率：40%—65%</w:t>
      </w:r>
    </w:p>
    <w:p w14:paraId="0E153C0A">
      <w:pPr>
        <w:pStyle w:val="13"/>
      </w:pPr>
      <w:r>
        <w:rPr>
          <w:rFonts w:ascii="Times New Roman" w:hAnsi="Times New Roman" w:eastAsia="微软雅黑"/>
          <w:b/>
          <w:bCs/>
          <w:sz w:val="24"/>
        </w:rPr>
        <w:t>二、营运能力</w:t>
      </w:r>
    </w:p>
    <w:p w14:paraId="34C5A23F">
      <w:pPr>
        <w:pStyle w:val="24"/>
        <w:numPr>
          <w:ilvl w:val="0"/>
          <w:numId w:val="1"/>
        </w:numPr>
      </w:pPr>
      <w:r>
        <w:rPr>
          <w:rFonts w:ascii="Times New Roman" w:hAnsi="Times New Roman" w:eastAsia="微软雅黑"/>
          <w:sz w:val="24"/>
        </w:rPr>
        <w:t>应收账款周转天数：0—25天（直营门店以现金/刷卡结算为主，团餐或企业客户可能有30天账期）</w:t>
      </w:r>
    </w:p>
    <w:p w14:paraId="4E2E7A21">
      <w:pPr>
        <w:pStyle w:val="24"/>
        <w:numPr>
          <w:ilvl w:val="0"/>
          <w:numId w:val="1"/>
        </w:numPr>
      </w:pPr>
      <w:r>
        <w:rPr>
          <w:rFonts w:ascii="Times New Roman" w:hAnsi="Times New Roman" w:eastAsia="微软雅黑"/>
          <w:sz w:val="24"/>
        </w:rPr>
        <w:t>存货周转天数：5—20天（食材保质期短，正常情况下存货周转极快）</w:t>
      </w:r>
    </w:p>
    <w:p w14:paraId="48501529">
      <w:pPr>
        <w:pStyle w:val="24"/>
        <w:numPr>
          <w:ilvl w:val="0"/>
          <w:numId w:val="1"/>
        </w:numPr>
      </w:pPr>
      <w:r>
        <w:rPr>
          <w:rFonts w:ascii="Times New Roman" w:hAnsi="Times New Roman" w:eastAsia="微软雅黑"/>
          <w:sz w:val="24"/>
        </w:rPr>
        <w:t>总资产周转率：1.2—2.5次</w:t>
      </w:r>
    </w:p>
    <w:p w14:paraId="3463505E">
      <w:pPr>
        <w:pStyle w:val="13"/>
      </w:pPr>
      <w:r>
        <w:rPr>
          <w:rFonts w:ascii="Times New Roman" w:hAnsi="Times New Roman" w:eastAsia="微软雅黑"/>
          <w:b/>
          <w:bCs/>
          <w:sz w:val="24"/>
        </w:rPr>
        <w:t>三、盈利能力</w:t>
      </w:r>
    </w:p>
    <w:p w14:paraId="6541582B">
      <w:pPr>
        <w:pStyle w:val="24"/>
        <w:numPr>
          <w:ilvl w:val="0"/>
          <w:numId w:val="1"/>
        </w:numPr>
      </w:pPr>
      <w:r>
        <w:rPr>
          <w:rFonts w:ascii="Times New Roman" w:hAnsi="Times New Roman" w:eastAsia="微软雅黑"/>
          <w:sz w:val="24"/>
        </w:rPr>
        <w:t>毛利率：55%—75%（餐饮毛利率定义通常只扣除食材成本）</w:t>
      </w:r>
    </w:p>
    <w:p w14:paraId="174EE9C0">
      <w:pPr>
        <w:pStyle w:val="24"/>
        <w:numPr>
          <w:ilvl w:val="0"/>
          <w:numId w:val="1"/>
        </w:numPr>
      </w:pPr>
      <w:r>
        <w:rPr>
          <w:rFonts w:ascii="Times New Roman" w:hAnsi="Times New Roman" w:eastAsia="微软雅黑"/>
          <w:sz w:val="24"/>
        </w:rPr>
        <w:t>净利率：5%—15%（扣除人工、租金、折旧等所有费用后）</w:t>
      </w:r>
    </w:p>
    <w:p w14:paraId="6421BFC2">
      <w:pPr>
        <w:pStyle w:val="24"/>
        <w:numPr>
          <w:ilvl w:val="0"/>
          <w:numId w:val="1"/>
        </w:numPr>
      </w:pPr>
      <w:r>
        <w:rPr>
          <w:rFonts w:ascii="Times New Roman" w:hAnsi="Times New Roman" w:eastAsia="微软雅黑"/>
          <w:sz w:val="24"/>
        </w:rPr>
        <w:t>ROA：8%—18%</w:t>
      </w:r>
    </w:p>
    <w:p w14:paraId="0FF0060D">
      <w:pPr>
        <w:pStyle w:val="24"/>
        <w:numPr>
          <w:ilvl w:val="0"/>
          <w:numId w:val="1"/>
        </w:numPr>
      </w:pPr>
      <w:r>
        <w:rPr>
          <w:rFonts w:ascii="Times New Roman" w:hAnsi="Times New Roman" w:eastAsia="微软雅黑"/>
          <w:sz w:val="24"/>
        </w:rPr>
        <w:t>ROE：15%—30%</w:t>
      </w:r>
    </w:p>
    <w:p w14:paraId="0B01911A">
      <w:pPr>
        <w:pStyle w:val="13"/>
      </w:pPr>
      <w:r>
        <w:rPr>
          <w:rFonts w:ascii="Times New Roman" w:hAnsi="Times New Roman" w:eastAsia="微软雅黑"/>
          <w:b/>
          <w:bCs/>
          <w:sz w:val="24"/>
        </w:rPr>
        <w:t>四、杜邦分析参考</w:t>
      </w:r>
    </w:p>
    <w:p w14:paraId="5FCAEF7F">
      <w:pPr>
        <w:pStyle w:val="24"/>
        <w:numPr>
          <w:ilvl w:val="0"/>
          <w:numId w:val="1"/>
        </w:numPr>
      </w:pPr>
      <w:r>
        <w:rPr>
          <w:rFonts w:ascii="Times New Roman" w:hAnsi="Times New Roman" w:eastAsia="微软雅黑"/>
          <w:sz w:val="24"/>
        </w:rPr>
        <w:t>净利率（净利润/收入）：5%—15%</w:t>
      </w:r>
    </w:p>
    <w:p w14:paraId="7FCFCC61">
      <w:pPr>
        <w:pStyle w:val="24"/>
        <w:numPr>
          <w:ilvl w:val="0"/>
          <w:numId w:val="1"/>
        </w:numPr>
      </w:pPr>
      <w:r>
        <w:rPr>
          <w:rFonts w:ascii="Times New Roman" w:hAnsi="Times New Roman" w:eastAsia="微软雅黑"/>
          <w:sz w:val="24"/>
        </w:rPr>
        <w:t>总资产周转率：1.2—2.5</w:t>
      </w:r>
    </w:p>
    <w:p w14:paraId="357FCE21">
      <w:pPr>
        <w:pStyle w:val="24"/>
        <w:numPr>
          <w:ilvl w:val="0"/>
          <w:numId w:val="1"/>
        </w:numPr>
      </w:pPr>
      <w:r>
        <w:rPr>
          <w:rFonts w:ascii="Times New Roman" w:hAnsi="Times New Roman" w:eastAsia="微软雅黑"/>
          <w:sz w:val="24"/>
        </w:rPr>
        <w:t>权益乘数：1.5—3.0</w:t>
      </w:r>
    </w:p>
    <w:p w14:paraId="1F4EF3D8">
      <w:r>
        <w:pict>
          <v:rect id="_x0000_i1047" o:spt="1" style="height:1.5pt;width:0pt;" coordsize="21600,21600" o:hr="t" o:hrstd="t" o:hralign="center">
            <v:path/>
            <v:fill focussize="0,0"/>
            <v:stroke/>
            <v:imagedata o:title=""/>
            <o:lock v:ext="edit"/>
            <w10:wrap type="none"/>
            <w10:anchorlock/>
          </v:rect>
        </w:pict>
      </w:r>
    </w:p>
    <w:p w14:paraId="10B59914">
      <w:pPr>
        <w:pStyle w:val="23"/>
      </w:pPr>
      <w:r>
        <w:rPr>
          <w:rFonts w:ascii="Times New Roman" w:hAnsi="Times New Roman" w:eastAsia="微软雅黑"/>
          <w:sz w:val="24"/>
        </w:rPr>
        <w:t>知识库的每条数据都要有来源说明和使用说明，让智能体在引用时能告知用户数据的局限性。</w:t>
      </w:r>
    </w:p>
    <w:bookmarkEnd w:id="57"/>
    <w:p w14:paraId="191F7D0A">
      <w:pPr>
        <w:pStyle w:val="5"/>
      </w:pPr>
      <w:bookmarkStart w:id="58" w:name="在扣子平台上传和配置行业知识库"/>
      <w:r>
        <w:rPr>
          <w:rFonts w:ascii="Times New Roman" w:hAnsi="Times New Roman" w:eastAsia="微软雅黑"/>
          <w:sz w:val="24"/>
        </w:rPr>
        <w:t>3. 在扣子平台上传和配置行业知识库</w:t>
      </w:r>
    </w:p>
    <w:p w14:paraId="11642F61">
      <w:pPr>
        <w:pStyle w:val="23"/>
      </w:pPr>
      <w:r>
        <w:rPr>
          <w:rFonts w:ascii="Times New Roman" w:hAnsi="Times New Roman" w:eastAsia="微软雅黑"/>
          <w:sz w:val="24"/>
        </w:rPr>
        <w:t>行业知识库的上传操作步骤与项目5相同，但需要注意以下几点：</w:t>
      </w:r>
    </w:p>
    <w:p w14:paraId="671197E4">
      <w:pPr>
        <w:pStyle w:val="3"/>
      </w:pPr>
      <w:r>
        <w:rPr>
          <w:rFonts w:ascii="Times New Roman" w:hAnsi="Times New Roman" w:eastAsia="微软雅黑"/>
          <w:b/>
          <w:bCs/>
          <w:sz w:val="24"/>
        </w:rPr>
        <w:t>注意一：文档命名要包含行业信息</w:t>
      </w:r>
      <w:r>
        <w:rPr>
          <w:rFonts w:ascii="Times New Roman" w:hAnsi="Times New Roman" w:eastAsia="微软雅黑"/>
          <w:sz w:val="24"/>
        </w:rPr>
        <w:t>，如“餐饮行业财务指标参考.md”、“制造业财务指标参考.md”，让智能体在检索时能准确定位对应行业的文档。</w:t>
      </w:r>
    </w:p>
    <w:p w14:paraId="202ACDB1">
      <w:pPr>
        <w:pStyle w:val="3"/>
      </w:pPr>
      <w:r>
        <w:rPr>
          <w:rFonts w:ascii="Times New Roman" w:hAnsi="Times New Roman" w:eastAsia="微软雅黑"/>
          <w:b/>
          <w:bCs/>
          <w:sz w:val="24"/>
        </w:rPr>
        <w:t>注意二：在系统提示词中明确引用指令</w:t>
      </w:r>
      <w:r>
        <w:rPr>
          <w:rFonts w:ascii="Times New Roman" w:hAnsi="Times New Roman" w:eastAsia="微软雅黑"/>
          <w:sz w:val="24"/>
        </w:rPr>
        <w:t>，告诉智能体“判断指标高低时，必须先从知识库中查找对应行业的参考范围，再给出评价”。如果不加这条指令，智能体可能只用通用知识回答，不调用知识库。</w:t>
      </w:r>
    </w:p>
    <w:p w14:paraId="420D029E">
      <w:pPr>
        <w:pStyle w:val="3"/>
      </w:pPr>
      <w:r>
        <w:rPr>
          <w:rFonts w:ascii="Times New Roman" w:hAnsi="Times New Roman" w:eastAsia="微软雅黑"/>
          <w:b/>
          <w:bCs/>
          <w:sz w:val="24"/>
        </w:rPr>
        <w:t>注意三：覆盖2—3个行业即可测试效果</w:t>
      </w:r>
      <w:r>
        <w:rPr>
          <w:rFonts w:ascii="Times New Roman" w:hAnsi="Times New Roman" w:eastAsia="微软雅黑"/>
          <w:sz w:val="24"/>
        </w:rPr>
        <w:t>，不需要一次性准备所有行业。先用餐饮和制造业测试，确认知识库引用逻辑正常后，再逐步补充其他行业。</w:t>
      </w:r>
    </w:p>
    <w:p w14:paraId="49970DF4">
      <w:r>
        <w:pict>
          <v:rect id="_x0000_i1048" o:spt="1" style="height:1.5pt;width:0pt;" coordsize="21600,21600" o:hr="t" o:hrstd="t" o:hralign="center">
            <v:path/>
            <v:fill focussize="0,0"/>
            <v:stroke/>
            <v:imagedata o:title=""/>
            <o:lock v:ext="edit"/>
            <w10:wrap type="none"/>
            <w10:anchorlock/>
          </v:rect>
        </w:pict>
      </w:r>
    </w:p>
    <w:bookmarkEnd w:id="55"/>
    <w:bookmarkEnd w:id="58"/>
    <w:p w14:paraId="4E2BCB59">
      <w:pPr>
        <w:pStyle w:val="4"/>
      </w:pPr>
      <w:bookmarkStart w:id="59" w:name="测试两家企业的对比分析输出"/>
      <w:r>
        <w:rPr>
          <w:rFonts w:ascii="Times New Roman" w:hAnsi="Times New Roman" w:eastAsia="微软雅黑"/>
          <w:sz w:val="24"/>
        </w:rPr>
        <w:t>7.4.3 测试两家企业的对比分析输出</w:t>
      </w:r>
    </w:p>
    <w:p w14:paraId="0B5580CB">
      <w:pPr>
        <w:pStyle w:val="5"/>
      </w:pPr>
      <w:bookmarkStart w:id="60" w:name="完整的系统提示词"/>
      <w:r>
        <w:rPr>
          <w:rFonts w:ascii="Times New Roman" w:hAnsi="Times New Roman" w:eastAsia="微软雅黑"/>
          <w:sz w:val="24"/>
        </w:rPr>
        <w:t>1. 完整的系统提示词</w:t>
      </w:r>
    </w:p>
    <w:p w14:paraId="5FFB216C">
      <w:pPr>
        <w:pStyle w:val="23"/>
      </w:pPr>
      <w:r>
        <w:rPr>
          <w:rFonts w:ascii="Times New Roman" w:hAnsi="Times New Roman" w:eastAsia="微软雅黑"/>
          <w:sz w:val="24"/>
        </w:rPr>
        <w:t>以下是“财务指标综合评价助手”的系统提示词：</w:t>
      </w:r>
    </w:p>
    <w:p w14:paraId="3A2402AF">
      <w:r>
        <w:pict>
          <v:rect id="_x0000_i1049" o:spt="1" style="height:1.5pt;width:0pt;" coordsize="21600,21600" o:hr="t" o:hrstd="t" o:hralign="center">
            <v:path/>
            <v:fill focussize="0,0"/>
            <v:stroke/>
            <v:imagedata o:title=""/>
            <o:lock v:ext="edit"/>
            <w10:wrap type="none"/>
            <w10:anchorlock/>
          </v:rect>
        </w:pict>
      </w:r>
    </w:p>
    <w:p w14:paraId="51FA0483">
      <w:pPr>
        <w:pStyle w:val="13"/>
      </w:pPr>
      <w:r>
        <w:rPr>
          <w:rFonts w:ascii="Times New Roman" w:hAnsi="Times New Roman" w:eastAsia="微软雅黑"/>
          <w:b/>
          <w:bCs/>
          <w:sz w:val="24"/>
        </w:rPr>
        <w:t>【角色与定位】</w:t>
      </w:r>
    </w:p>
    <w:p w14:paraId="00A105CD">
      <w:pPr>
        <w:pStyle w:val="13"/>
      </w:pPr>
      <w:r>
        <w:rPr>
          <w:rFonts w:ascii="Times New Roman" w:hAnsi="Times New Roman" w:eastAsia="微软雅黑"/>
          <w:sz w:val="24"/>
        </w:rPr>
        <w:t>你是一位专业的财务分析师，专注于企业财务指标的综合评价。你的工作是基于用户提供的财务数据，计算三类财务比率指标（偿债能力、营运能力、盈利能力），结合行业参考值给出评价，并完成杜邦分析。</w:t>
      </w:r>
    </w:p>
    <w:p w14:paraId="285F0505">
      <w:pPr>
        <w:pStyle w:val="13"/>
      </w:pPr>
      <w:r>
        <w:rPr>
          <w:rFonts w:ascii="Times New Roman" w:hAnsi="Times New Roman" w:eastAsia="微软雅黑"/>
          <w:b/>
          <w:bCs/>
          <w:sz w:val="24"/>
        </w:rPr>
        <w:t>【分析流程】</w:t>
      </w:r>
    </w:p>
    <w:p w14:paraId="2E91EB0F">
      <w:pPr>
        <w:pStyle w:val="13"/>
      </w:pPr>
      <w:r>
        <w:rPr>
          <w:rFonts w:ascii="Times New Roman" w:hAnsi="Times New Roman" w:eastAsia="微软雅黑"/>
          <w:sz w:val="24"/>
        </w:rPr>
        <w:t>收到财务数据后，按以下步骤执行：</w:t>
      </w:r>
    </w:p>
    <w:p w14:paraId="0227E955">
      <w:pPr>
        <w:pStyle w:val="13"/>
      </w:pPr>
      <w:r>
        <w:rPr>
          <w:rFonts w:ascii="Times New Roman" w:hAnsi="Times New Roman" w:eastAsia="微软雅黑"/>
          <w:sz w:val="24"/>
        </w:rPr>
        <w:t>第一步：确认企业所属行业，从知识库中查找该行业的财务指标参考范围。</w:t>
      </w:r>
    </w:p>
    <w:p w14:paraId="5159ACC3">
      <w:pPr>
        <w:pStyle w:val="13"/>
      </w:pPr>
      <w:r>
        <w:rPr>
          <w:rFonts w:ascii="Times New Roman" w:hAnsi="Times New Roman" w:eastAsia="微软雅黑"/>
          <w:sz w:val="24"/>
        </w:rPr>
        <w:t>第二步：计算以下指标（如数据不足以计算某项，注明“数据不足，无法计算”）：</w:t>
      </w:r>
    </w:p>
    <w:p w14:paraId="6FE12BFA">
      <w:pPr>
        <w:pStyle w:val="13"/>
      </w:pPr>
      <w:r>
        <w:rPr>
          <w:rFonts w:ascii="Times New Roman" w:hAnsi="Times New Roman" w:eastAsia="微软雅黑"/>
          <w:sz w:val="24"/>
        </w:rPr>
        <w:t>偿债能力：流动比率、速动比率、资产负债率、利息保障倍数</w:t>
      </w:r>
    </w:p>
    <w:p w14:paraId="316AA317">
      <w:pPr>
        <w:pStyle w:val="13"/>
      </w:pPr>
      <w:r>
        <w:rPr>
          <w:rFonts w:ascii="Times New Roman" w:hAnsi="Times New Roman" w:eastAsia="微软雅黑"/>
          <w:sz w:val="24"/>
        </w:rPr>
        <w:t>营运能力：应收账款周转天数、存货周转天数、总资产周转率</w:t>
      </w:r>
    </w:p>
    <w:p w14:paraId="0CEF00B9">
      <w:pPr>
        <w:pStyle w:val="13"/>
      </w:pPr>
      <w:r>
        <w:rPr>
          <w:rFonts w:ascii="Times New Roman" w:hAnsi="Times New Roman" w:eastAsia="微软雅黑"/>
          <w:sz w:val="24"/>
        </w:rPr>
        <w:t>盈利能力：毛利率、净利率、ROA、ROE</w:t>
      </w:r>
    </w:p>
    <w:p w14:paraId="41FBA285">
      <w:pPr>
        <w:pStyle w:val="13"/>
      </w:pPr>
      <w:r>
        <w:rPr>
          <w:rFonts w:ascii="Times New Roman" w:hAnsi="Times New Roman" w:eastAsia="微软雅黑"/>
          <w:sz w:val="24"/>
        </w:rPr>
        <w:t>杜邦分析：净利率、总资产周转率、权益乘数，以及三者之积与直接计算ROE的核对</w:t>
      </w:r>
    </w:p>
    <w:p w14:paraId="2FF3DAE8">
      <w:pPr>
        <w:pStyle w:val="13"/>
      </w:pPr>
      <w:r>
        <w:rPr>
          <w:rFonts w:ascii="Times New Roman" w:hAnsi="Times New Roman" w:eastAsia="微软雅黑"/>
          <w:sz w:val="24"/>
        </w:rPr>
        <w:t>第三步：对每个指标，给出评价（正常/偏高/偏低/需关注），评价标准以知识库中的行业参考范围为基准。</w:t>
      </w:r>
    </w:p>
    <w:p w14:paraId="7EF3AF18">
      <w:pPr>
        <w:pStyle w:val="13"/>
      </w:pPr>
      <w:r>
        <w:rPr>
          <w:rFonts w:ascii="Times New Roman" w:hAnsi="Times New Roman" w:eastAsia="微软雅黑"/>
          <w:sz w:val="24"/>
        </w:rPr>
        <w:t>第四步：生成综合评价结论，指出该企业的主要优势（不超过3条）和主要风险点（不超过3条）。</w:t>
      </w:r>
    </w:p>
    <w:p w14:paraId="2DEB0345">
      <w:pPr>
        <w:pStyle w:val="13"/>
      </w:pPr>
      <w:r>
        <w:rPr>
          <w:rFonts w:ascii="Times New Roman" w:hAnsi="Times New Roman" w:eastAsia="微软雅黑"/>
          <w:sz w:val="24"/>
        </w:rPr>
        <w:t>如果是两家企业对比分析，额外输出横向对比表，每个指标并列显示两家企业的数值和相对优劣。</w:t>
      </w:r>
    </w:p>
    <w:p w14:paraId="1F88FCA5">
      <w:pPr>
        <w:pStyle w:val="13"/>
      </w:pPr>
      <w:r>
        <w:rPr>
          <w:rFonts w:ascii="Times New Roman" w:hAnsi="Times New Roman" w:eastAsia="微软雅黑"/>
          <w:b/>
          <w:bCs/>
          <w:sz w:val="24"/>
        </w:rPr>
        <w:t>【输出格式】</w:t>
      </w:r>
    </w:p>
    <w:p w14:paraId="015CA331">
      <w:pPr>
        <w:pStyle w:val="13"/>
      </w:pPr>
      <w:r>
        <w:rPr>
          <w:rFonts w:ascii="Times New Roman" w:hAnsi="Times New Roman" w:eastAsia="微软雅黑"/>
          <w:sz w:val="24"/>
        </w:rPr>
        <w:t>使用Markdown格式，结构如下：</w:t>
      </w:r>
    </w:p>
    <w:p w14:paraId="57740C64">
      <w:pPr>
        <w:pStyle w:val="37"/>
      </w:pPr>
      <w:r>
        <w:rPr>
          <w:rStyle w:val="36"/>
          <w:rFonts w:ascii="Times New Roman" w:hAnsi="Times New Roman" w:eastAsia="微软雅黑"/>
          <w:sz w:val="24"/>
        </w:rPr>
        <w:t xml:space="preserve"># [企业名称]财务指标综合评价报告</w:t>
      </w:r>
      <w:r>
        <w:br/>
      </w:r>
      <w:r>
        <w:br/>
      </w:r>
      <w:r>
        <w:rPr>
          <w:rStyle w:val="36"/>
          <w:rFonts w:ascii="Times New Roman" w:hAnsi="Times New Roman" w:eastAsia="微软雅黑"/>
          <w:sz w:val="24"/>
        </w:rPr>
        <w:t xml:space="preserve">## 一、偿债能力</w:t>
      </w:r>
      <w:r>
        <w:br/>
      </w:r>
      <w:r>
        <w:rPr>
          <w:rStyle w:val="36"/>
          <w:rFonts w:ascii="Times New Roman" w:hAnsi="Times New Roman" w:eastAsia="微软雅黑"/>
          <w:sz w:val="24"/>
        </w:rPr>
        <w:t xml:space="preserve">| 指标 | 计算值 | 行业参考 | 评价 |</w:t>
      </w:r>
      <w:r>
        <w:br/>
      </w:r>
      <w:r>
        <w:rPr>
          <w:rStyle w:val="36"/>
          <w:rFonts w:ascii="Times New Roman" w:hAnsi="Times New Roman" w:eastAsia="微软雅黑"/>
          <w:sz w:val="24"/>
        </w:rPr>
        <w:t xml:space="preserve">| --- | --- | --- | --- |</w:t>
      </w:r>
      <w:r>
        <w:br/>
      </w:r>
      <w:r>
        <w:rPr>
          <w:rStyle w:val="36"/>
          <w:rFonts w:ascii="Times New Roman" w:hAnsi="Times New Roman" w:eastAsia="微软雅黑"/>
          <w:sz w:val="24"/>
        </w:rPr>
        <w:t xml:space="preserve">| 流动比率 |  |  |  |</w:t>
      </w:r>
      <w:r>
        <w:br/>
      </w:r>
      <w:r>
        <w:rPr>
          <w:rStyle w:val="36"/>
          <w:rFonts w:ascii="Times New Roman" w:hAnsi="Times New Roman" w:eastAsia="微软雅黑"/>
          <w:sz w:val="24"/>
        </w:rPr>
        <w:t xml:space="preserve">| 速动比率 |  |  |  |</w:t>
      </w:r>
      <w:r>
        <w:br/>
      </w:r>
      <w:r>
        <w:rPr>
          <w:rStyle w:val="36"/>
          <w:rFonts w:ascii="Times New Roman" w:hAnsi="Times New Roman" w:eastAsia="微软雅黑"/>
          <w:sz w:val="24"/>
        </w:rPr>
        <w:t xml:space="preserve">| 资产负债率 |  |  |  |</w:t>
      </w:r>
      <w:r>
        <w:br/>
      </w:r>
      <w:r>
        <w:rPr>
          <w:rStyle w:val="36"/>
          <w:rFonts w:ascii="Times New Roman" w:hAnsi="Times New Roman" w:eastAsia="微软雅黑"/>
          <w:sz w:val="24"/>
        </w:rPr>
        <w:t xml:space="preserve">| 利息保障倍数 |  |  |  |</w:t>
      </w:r>
      <w:r>
        <w:br/>
      </w:r>
      <w:r>
        <w:br/>
      </w:r>
      <w:r>
        <w:rPr>
          <w:rStyle w:val="36"/>
          <w:rFonts w:ascii="Times New Roman" w:hAnsi="Times New Roman" w:eastAsia="微软雅黑"/>
          <w:sz w:val="24"/>
        </w:rPr>
        <w:t xml:space="preserve">## 二、营运能力</w:t>
      </w:r>
      <w:r>
        <w:br/>
      </w:r>
      <w:r>
        <w:rPr>
          <w:rStyle w:val="36"/>
          <w:rFonts w:ascii="Times New Roman" w:hAnsi="Times New Roman" w:eastAsia="微软雅黑"/>
          <w:sz w:val="24"/>
        </w:rPr>
        <w:t xml:space="preserve">| 指标 | 计算值 | 行业参考 | 评价 |</w:t>
      </w:r>
      <w:r>
        <w:br/>
      </w:r>
      <w:r>
        <w:rPr>
          <w:rStyle w:val="36"/>
          <w:rFonts w:ascii="Times New Roman" w:hAnsi="Times New Roman" w:eastAsia="微软雅黑"/>
          <w:sz w:val="24"/>
        </w:rPr>
        <w:t xml:space="preserve">| --- | --- | --- | --- |</w:t>
      </w:r>
      <w:r>
        <w:br/>
      </w:r>
      <w:r>
        <w:rPr>
          <w:rStyle w:val="36"/>
          <w:rFonts w:ascii="Times New Roman" w:hAnsi="Times New Roman" w:eastAsia="微软雅黑"/>
          <w:sz w:val="24"/>
        </w:rPr>
        <w:t xml:space="preserve">| 应收账款周转天数 |  |  |  |</w:t>
      </w:r>
      <w:r>
        <w:br/>
      </w:r>
      <w:r>
        <w:rPr>
          <w:rStyle w:val="36"/>
          <w:rFonts w:ascii="Times New Roman" w:hAnsi="Times New Roman" w:eastAsia="微软雅黑"/>
          <w:sz w:val="24"/>
        </w:rPr>
        <w:t xml:space="preserve">| 存货周转天数 |  |  |  |</w:t>
      </w:r>
      <w:r>
        <w:br/>
      </w:r>
      <w:r>
        <w:rPr>
          <w:rStyle w:val="36"/>
          <w:rFonts w:ascii="Times New Roman" w:hAnsi="Times New Roman" w:eastAsia="微软雅黑"/>
          <w:sz w:val="24"/>
        </w:rPr>
        <w:t xml:space="preserve">| 总资产周转率 |  |  |  |</w:t>
      </w:r>
      <w:r>
        <w:br/>
      </w:r>
      <w:r>
        <w:br/>
      </w:r>
      <w:r>
        <w:rPr>
          <w:rStyle w:val="36"/>
          <w:rFonts w:ascii="Times New Roman" w:hAnsi="Times New Roman" w:eastAsia="微软雅黑"/>
          <w:sz w:val="24"/>
        </w:rPr>
        <w:t xml:space="preserve">## 三、盈利能力</w:t>
      </w:r>
      <w:r>
        <w:br/>
      </w:r>
      <w:r>
        <w:rPr>
          <w:rStyle w:val="36"/>
          <w:rFonts w:ascii="Times New Roman" w:hAnsi="Times New Roman" w:eastAsia="微软雅黑"/>
          <w:sz w:val="24"/>
        </w:rPr>
        <w:t xml:space="preserve">| 指标 | 计算值 | 行业参考 | 评价 |</w:t>
      </w:r>
      <w:r>
        <w:br/>
      </w:r>
      <w:r>
        <w:rPr>
          <w:rStyle w:val="36"/>
          <w:rFonts w:ascii="Times New Roman" w:hAnsi="Times New Roman" w:eastAsia="微软雅黑"/>
          <w:sz w:val="24"/>
        </w:rPr>
        <w:t xml:space="preserve">| --- | --- | --- | --- |</w:t>
      </w:r>
      <w:r>
        <w:br/>
      </w:r>
      <w:r>
        <w:rPr>
          <w:rStyle w:val="36"/>
          <w:rFonts w:ascii="Times New Roman" w:hAnsi="Times New Roman" w:eastAsia="微软雅黑"/>
          <w:sz w:val="24"/>
        </w:rPr>
        <w:t xml:space="preserve">| 毛利率 |  |  |  |</w:t>
      </w:r>
      <w:r>
        <w:br/>
      </w:r>
      <w:r>
        <w:rPr>
          <w:rStyle w:val="36"/>
          <w:rFonts w:ascii="Times New Roman" w:hAnsi="Times New Roman" w:eastAsia="微软雅黑"/>
          <w:sz w:val="24"/>
        </w:rPr>
        <w:t xml:space="preserve">| 净利率 |  |  |  |</w:t>
      </w:r>
      <w:r>
        <w:br/>
      </w:r>
      <w:r>
        <w:rPr>
          <w:rStyle w:val="36"/>
          <w:rFonts w:ascii="Times New Roman" w:hAnsi="Times New Roman" w:eastAsia="微软雅黑"/>
          <w:sz w:val="24"/>
        </w:rPr>
        <w:t xml:space="preserve">| ROA |  |  |  |</w:t>
      </w:r>
      <w:r>
        <w:br/>
      </w:r>
      <w:r>
        <w:rPr>
          <w:rStyle w:val="36"/>
          <w:rFonts w:ascii="Times New Roman" w:hAnsi="Times New Roman" w:eastAsia="微软雅黑"/>
          <w:sz w:val="24"/>
        </w:rPr>
        <w:t xml:space="preserve">| ROE |  |  |  |</w:t>
      </w:r>
      <w:r>
        <w:br/>
      </w:r>
      <w:r>
        <w:br/>
      </w:r>
      <w:r>
        <w:rPr>
          <w:rStyle w:val="36"/>
          <w:rFonts w:ascii="Times New Roman" w:hAnsi="Times New Roman" w:eastAsia="微软雅黑"/>
          <w:sz w:val="24"/>
        </w:rPr>
        <w:t xml:space="preserve">## 四、杜邦分析</w:t>
      </w:r>
      <w:r>
        <w:br/>
      </w:r>
      <w:r>
        <w:rPr>
          <w:rStyle w:val="36"/>
          <w:rFonts w:ascii="Times New Roman" w:hAnsi="Times New Roman" w:eastAsia="微软雅黑"/>
          <w:sz w:val="24"/>
        </w:rPr>
        <w:t xml:space="preserve">ROE = 净利率 × 总资产周转率 × 权益乘数</w:t>
      </w:r>
      <w:r>
        <w:br/>
      </w:r>
      <w:r>
        <w:rPr>
          <w:rStyle w:val="36"/>
          <w:rFonts w:ascii="Times New Roman" w:hAnsi="Times New Roman" w:eastAsia="微软雅黑"/>
          <w:sz w:val="24"/>
        </w:rPr>
        <w:t xml:space="preserve">= X% × X次 × X = X%</w:t>
      </w:r>
      <w:r>
        <w:br/>
      </w:r>
      <w:r>
        <w:br/>
      </w:r>
      <w:r>
        <w:rPr>
          <w:rStyle w:val="36"/>
          <w:rFonts w:ascii="Times New Roman" w:hAnsi="Times New Roman" w:eastAsia="微软雅黑"/>
          <w:sz w:val="24"/>
        </w:rPr>
        <w:t xml:space="preserve">## 五、综合结论</w:t>
      </w:r>
      <w:r>
        <w:br/>
      </w:r>
      <w:r>
        <w:rPr>
          <w:rStyle w:val="36"/>
          <w:rFonts w:ascii="Times New Roman" w:hAnsi="Times New Roman" w:eastAsia="微软雅黑"/>
          <w:sz w:val="24"/>
        </w:rPr>
        <w:t xml:space="preserve">主要优势：</w:t>
      </w:r>
      <w:r>
        <w:br/>
      </w:r>
      <w:r>
        <w:rPr>
          <w:rStyle w:val="36"/>
          <w:rFonts w:ascii="Times New Roman" w:hAnsi="Times New Roman" w:eastAsia="微软雅黑"/>
          <w:sz w:val="24"/>
        </w:rPr>
        <w:t xml:space="preserve">1. ...</w:t>
      </w:r>
      <w:r>
        <w:br/>
      </w:r>
      <w:r>
        <w:rPr>
          <w:rStyle w:val="36"/>
          <w:rFonts w:ascii="Times New Roman" w:hAnsi="Times New Roman" w:eastAsia="微软雅黑"/>
          <w:sz w:val="24"/>
        </w:rPr>
        <w:t xml:space="preserve">2. ...</w:t>
      </w:r>
      <w:r>
        <w:br/>
      </w:r>
      <w:r>
        <w:br/>
      </w:r>
      <w:r>
        <w:rPr>
          <w:rStyle w:val="36"/>
          <w:rFonts w:ascii="Times New Roman" w:hAnsi="Times New Roman" w:eastAsia="微软雅黑"/>
          <w:sz w:val="24"/>
        </w:rPr>
        <w:t xml:space="preserve">主要风险：</w:t>
      </w:r>
      <w:r>
        <w:br/>
      </w:r>
      <w:r>
        <w:rPr>
          <w:rStyle w:val="36"/>
          <w:rFonts w:ascii="Times New Roman" w:hAnsi="Times New Roman" w:eastAsia="微软雅黑"/>
          <w:sz w:val="24"/>
        </w:rPr>
        <w:t xml:space="preserve">1. ...</w:t>
      </w:r>
      <w:r>
        <w:br/>
      </w:r>
      <w:r>
        <w:rPr>
          <w:rStyle w:val="36"/>
          <w:rFonts w:ascii="Times New Roman" w:hAnsi="Times New Roman" w:eastAsia="微软雅黑"/>
          <w:sz w:val="24"/>
        </w:rPr>
        <w:t xml:space="preserve">2. ...</w:t>
      </w:r>
      <w:r>
        <w:br/>
      </w:r>
      <w:r>
        <w:br/>
      </w:r>
      <w:r>
        <w:rPr>
          <w:rStyle w:val="36"/>
          <w:rFonts w:ascii="Times New Roman" w:hAnsi="Times New Roman" w:eastAsia="微软雅黑"/>
          <w:sz w:val="24"/>
        </w:rPr>
        <w:t xml:space="preserve">分析说明： 本报告基于单期财务数据，行业参考值来自知识库，仅供参考，最终判断请结合企业实际业务背景。</w:t>
      </w:r>
    </w:p>
    <w:p w14:paraId="2E6FB824">
      <w:pPr>
        <w:pStyle w:val="13"/>
      </w:pPr>
      <w:r>
        <w:rPr>
          <w:rFonts w:ascii="Times New Roman" w:hAnsi="Times New Roman" w:eastAsia="微软雅黑"/>
          <w:b/>
          <w:bCs/>
          <w:sz w:val="24"/>
        </w:rPr>
        <w:t>【能力边界】</w:t>
      </w:r>
    </w:p>
    <w:p w14:paraId="4DE44B7C">
      <w:pPr>
        <w:pStyle w:val="24"/>
        <w:numPr>
          <w:ilvl w:val="0"/>
          <w:numId w:val="1"/>
        </w:numPr>
      </w:pPr>
      <w:r>
        <w:rPr>
          <w:rFonts w:ascii="Times New Roman" w:hAnsi="Times New Roman" w:eastAsia="微软雅黑"/>
          <w:sz w:val="24"/>
        </w:rPr>
        <w:t>本智能体不做财务预测，只对当期数据进行描述性分析</w:t>
      </w:r>
    </w:p>
    <w:p w14:paraId="2865ED85">
      <w:pPr>
        <w:pStyle w:val="24"/>
        <w:numPr>
          <w:ilvl w:val="0"/>
          <w:numId w:val="1"/>
        </w:numPr>
      </w:pPr>
      <w:r>
        <w:rPr>
          <w:rFonts w:ascii="Times New Roman" w:hAnsi="Times New Roman" w:eastAsia="微软雅黑"/>
          <w:sz w:val="24"/>
        </w:rPr>
        <w:t>行业参考范围仅代表一般水平，具体企业因商业模式不同可能存在合理的偏差</w:t>
      </w:r>
    </w:p>
    <w:p w14:paraId="2545BF13">
      <w:pPr>
        <w:pStyle w:val="24"/>
        <w:numPr>
          <w:ilvl w:val="0"/>
          <w:numId w:val="1"/>
        </w:numPr>
      </w:pPr>
      <w:r>
        <w:rPr>
          <w:rFonts w:ascii="Times New Roman" w:hAnsi="Times New Roman" w:eastAsia="微软雅黑"/>
          <w:sz w:val="24"/>
        </w:rPr>
        <w:t>对于需要业务背景才能解释的异常指标，在报告中标注“需结合业务背景进一步核实”</w:t>
      </w:r>
    </w:p>
    <w:p w14:paraId="7E1ED69E">
      <w:pPr>
        <w:pStyle w:val="24"/>
        <w:numPr>
          <w:ilvl w:val="0"/>
          <w:numId w:val="1"/>
        </w:numPr>
      </w:pPr>
      <w:r>
        <w:rPr>
          <w:rFonts w:ascii="Times New Roman" w:hAnsi="Times New Roman" w:eastAsia="微软雅黑"/>
          <w:sz w:val="24"/>
        </w:rPr>
        <w:t>如用户提供的数据不完整，列出无法计算的指标，不进行猜测填充</w:t>
      </w:r>
    </w:p>
    <w:p w14:paraId="0128EDE9">
      <w:r>
        <w:pict>
          <v:rect id="_x0000_i1050" o:spt="1" style="height:1.5pt;width:0pt;" coordsize="21600,21600" o:hr="t" o:hrstd="t" o:hralign="center">
            <v:path/>
            <v:fill focussize="0,0"/>
            <v:stroke/>
            <v:imagedata o:title=""/>
            <o:lock v:ext="edit"/>
            <w10:wrap type="none"/>
            <w10:anchorlock/>
          </v:rect>
        </w:pict>
      </w:r>
    </w:p>
    <w:bookmarkEnd w:id="60"/>
    <w:p w14:paraId="038E1A72">
      <w:pPr>
        <w:pStyle w:val="5"/>
      </w:pPr>
      <w:bookmarkStart w:id="61" w:name="测试用例设计"/>
      <w:r>
        <w:rPr>
          <w:rFonts w:ascii="Times New Roman" w:hAnsi="Times New Roman" w:eastAsia="微软雅黑"/>
          <w:sz w:val="24"/>
        </w:rPr>
        <w:t>2. 测试用例设计</w:t>
      </w:r>
    </w:p>
    <w:p w14:paraId="3AE28DC6">
      <w:pPr>
        <w:pStyle w:val="23"/>
      </w:pPr>
      <w:r>
        <w:rPr>
          <w:rFonts w:ascii="Times New Roman" w:hAnsi="Times New Roman" w:eastAsia="微软雅黑"/>
          <w:sz w:val="24"/>
        </w:rPr>
        <w:t>用A公司和B公司的数据测试这个智能体，设计三轮测试，见表7-19。</w:t>
      </w:r>
    </w:p>
    <w:p w14:paraId="5882B658">
      <w:pPr>
        <w:jc w:val="center"/>
        <w:pStyle w:val="3"/>
      </w:pPr>
      <w:r>
        <w:rPr>
          <w:rFonts w:ascii="Times New Roman" w:hAnsi="Times New Roman" w:eastAsia="微软雅黑"/>
          <w:b/>
          <w:bCs/>
          <w:sz w:val="24"/>
        </w:rPr>
        <w:t>表7-19 综合评价智能体测试用例设计</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030"/>
        <w:gridCol w:w="2030"/>
        <w:gridCol w:w="2030"/>
        <w:gridCol w:w="1827"/>
      </w:tblGrid>
      <w:tr w14:paraId="14521B5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C6585B5">
            <w:pPr>
              <w:pStyle w:val="24"/>
              <w:jc w:val="left"/>
            </w:pPr>
            <w:r>
              <w:rPr>
                <w:rFonts w:ascii="Times New Roman" w:hAnsi="Times New Roman" w:eastAsia="微软雅黑"/>
                <w:b/>
                <w:color w:val="1E3A8A"/>
                <w:sz w:val="22"/>
              </w:rPr>
              <w:t>测试轮次</w:t>
            </w:r>
          </w:p>
        </w:tc>
        <w:tc>
          <w:tcPr>
            <w:tcBorders>
              <w:top w:val="single" w:color="E2E8F0" w:sz="6" w:space="0"/>
              <w:left w:val="single" w:color="E2E8F0" w:sz="6" w:space="0"/>
              <w:bottom w:val="single" w:color="E2E8F0" w:sz="6" w:space="0"/>
              <w:right w:val="single" w:color="E2E8F0" w:sz="6" w:space="0"/>
            </w:tcBorders>
            <w:shd w:val="clear" w:color="auto" w:fill="EEF4FF"/>
          </w:tcPr>
          <w:p w14:paraId="2AD11FAD">
            <w:pPr>
              <w:pStyle w:val="24"/>
              <w:jc w:val="left"/>
            </w:pPr>
            <w:r>
              <w:rPr>
                <w:rFonts w:ascii="Times New Roman" w:hAnsi="Times New Roman" w:eastAsia="微软雅黑"/>
                <w:b/>
                <w:color w:val="1E3A8A"/>
                <w:sz w:val="22"/>
              </w:rPr>
              <w:t>测试内容</w:t>
            </w:r>
          </w:p>
        </w:tc>
        <w:tc>
          <w:tcPr>
            <w:tcBorders>
              <w:top w:val="single" w:color="E2E8F0" w:sz="6" w:space="0"/>
              <w:left w:val="single" w:color="E2E8F0" w:sz="6" w:space="0"/>
              <w:bottom w:val="single" w:color="E2E8F0" w:sz="6" w:space="0"/>
              <w:right w:val="single" w:color="E2E8F0" w:sz="6" w:space="0"/>
            </w:tcBorders>
            <w:shd w:val="clear" w:color="auto" w:fill="EEF4FF"/>
          </w:tcPr>
          <w:p w14:paraId="4C92F832">
            <w:pPr>
              <w:pStyle w:val="24"/>
              <w:jc w:val="left"/>
            </w:pPr>
            <w:r>
              <w:rPr>
                <w:rFonts w:ascii="Times New Roman" w:hAnsi="Times New Roman" w:eastAsia="微软雅黑"/>
                <w:b/>
                <w:color w:val="1E3A8A"/>
                <w:sz w:val="22"/>
              </w:rPr>
              <w:t>预期表现</w:t>
            </w:r>
          </w:p>
        </w:tc>
        <w:tc>
          <w:tcPr>
            <w:tcBorders>
              <w:top w:val="single" w:color="E2E8F0" w:sz="6" w:space="0"/>
              <w:left w:val="single" w:color="E2E8F0" w:sz="6" w:space="0"/>
              <w:bottom w:val="single" w:color="E2E8F0" w:sz="6" w:space="0"/>
              <w:right w:val="single" w:color="E2E8F0" w:sz="6" w:space="0"/>
            </w:tcBorders>
            <w:shd w:val="clear" w:color="auto" w:fill="EEF4FF"/>
          </w:tcPr>
          <w:p w14:paraId="57DA56A9">
            <w:pPr>
              <w:pStyle w:val="24"/>
              <w:jc w:val="left"/>
            </w:pPr>
            <w:r>
              <w:rPr>
                <w:rFonts w:ascii="Times New Roman" w:hAnsi="Times New Roman" w:eastAsia="微软雅黑"/>
                <w:b/>
                <w:color w:val="1E3A8A"/>
                <w:sz w:val="22"/>
              </w:rPr>
              <w:t>重点观察</w:t>
            </w:r>
          </w:p>
        </w:tc>
      </w:tr>
      <w:tr w14:paraId="35D7E63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F08100B">
            <w:pPr>
              <w:pStyle w:val="24"/>
              <w:jc w:val="left"/>
            </w:pPr>
            <w:r>
              <w:rPr>
                <w:rFonts w:ascii="Times New Roman" w:hAnsi="Times New Roman" w:eastAsia="微软雅黑"/>
                <w:sz w:val="22"/>
              </w:rPr>
              <w:t>第一轮</w:t>
            </w:r>
          </w:p>
        </w:tc>
        <w:tc>
          <w:tcPr>
            <w:tcBorders>
              <w:top w:val="single" w:color="E2E8F0" w:sz="6" w:space="0"/>
              <w:left w:val="single" w:color="E2E8F0" w:sz="6" w:space="0"/>
              <w:bottom w:val="single" w:color="E2E8F0" w:sz="6" w:space="0"/>
              <w:right w:val="single" w:color="E2E8F0" w:sz="6" w:space="0"/>
            </w:tcBorders>
          </w:tcPr>
          <w:p w14:paraId="20EC93F5">
            <w:pPr>
              <w:pStyle w:val="24"/>
              <w:jc w:val="left"/>
            </w:pPr>
            <w:r>
              <w:rPr>
                <w:rFonts w:ascii="Times New Roman" w:hAnsi="Times New Roman" w:eastAsia="微软雅黑"/>
                <w:sz w:val="22"/>
              </w:rPr>
              <w:t>只输入A公司数据，行业为餐饮</w:t>
            </w:r>
          </w:p>
        </w:tc>
        <w:tc>
          <w:tcPr>
            <w:tcBorders>
              <w:top w:val="single" w:color="E2E8F0" w:sz="6" w:space="0"/>
              <w:left w:val="single" w:color="E2E8F0" w:sz="6" w:space="0"/>
              <w:bottom w:val="single" w:color="E2E8F0" w:sz="6" w:space="0"/>
              <w:right w:val="single" w:color="E2E8F0" w:sz="6" w:space="0"/>
            </w:tcBorders>
          </w:tcPr>
          <w:p w14:paraId="722F7605">
            <w:pPr>
              <w:pStyle w:val="24"/>
              <w:jc w:val="left"/>
            </w:pPr>
            <w:r>
              <w:rPr>
                <w:rFonts w:ascii="Times New Roman" w:hAnsi="Times New Roman" w:eastAsia="微软雅黑"/>
                <w:sz w:val="22"/>
              </w:rPr>
              <w:t>输出A公司的完整评价报告，行业参考值来自知识库</w:t>
            </w:r>
          </w:p>
        </w:tc>
        <w:tc>
          <w:tcPr>
            <w:tcBorders>
              <w:top w:val="single" w:color="E2E8F0" w:sz="6" w:space="0"/>
              <w:left w:val="single" w:color="E2E8F0" w:sz="6" w:space="0"/>
              <w:bottom w:val="single" w:color="E2E8F0" w:sz="6" w:space="0"/>
              <w:right w:val="single" w:color="E2E8F0" w:sz="6" w:space="0"/>
            </w:tcBorders>
          </w:tcPr>
          <w:p w14:paraId="7952CCAF">
            <w:pPr>
              <w:pStyle w:val="24"/>
              <w:jc w:val="left"/>
            </w:pPr>
            <w:r>
              <w:rPr>
                <w:rFonts w:ascii="Times New Roman" w:hAnsi="Times New Roman" w:eastAsia="微软雅黑"/>
                <w:sz w:val="22"/>
              </w:rPr>
              <w:t>知识库是否被正确调用</w:t>
            </w:r>
          </w:p>
        </w:tc>
      </w:tr>
      <w:tr w14:paraId="378E1D7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BE69A19">
            <w:pPr>
              <w:pStyle w:val="24"/>
              <w:jc w:val="left"/>
            </w:pPr>
            <w:r>
              <w:rPr>
                <w:rFonts w:ascii="Times New Roman" w:hAnsi="Times New Roman" w:eastAsia="微软雅黑"/>
                <w:sz w:val="22"/>
              </w:rPr>
              <w:t>第二轮</w:t>
            </w:r>
          </w:p>
        </w:tc>
        <w:tc>
          <w:tcPr>
            <w:tcBorders>
              <w:top w:val="single" w:color="E2E8F0" w:sz="6" w:space="0"/>
              <w:left w:val="single" w:color="E2E8F0" w:sz="6" w:space="0"/>
              <w:bottom w:val="single" w:color="E2E8F0" w:sz="6" w:space="0"/>
              <w:right w:val="single" w:color="E2E8F0" w:sz="6" w:space="0"/>
            </w:tcBorders>
            <w:shd w:val="clear" w:color="auto" w:fill="F8FAFC"/>
          </w:tcPr>
          <w:p w14:paraId="2F9CB000">
            <w:pPr>
              <w:pStyle w:val="24"/>
              <w:jc w:val="left"/>
            </w:pPr>
            <w:r>
              <w:rPr>
                <w:rFonts w:ascii="Times New Roman" w:hAnsi="Times New Roman" w:eastAsia="微软雅黑"/>
                <w:sz w:val="22"/>
              </w:rPr>
              <w:t>同时输入A公司和B公司数据，要求对比</w:t>
            </w:r>
          </w:p>
        </w:tc>
        <w:tc>
          <w:tcPr>
            <w:tcBorders>
              <w:top w:val="single" w:color="E2E8F0" w:sz="6" w:space="0"/>
              <w:left w:val="single" w:color="E2E8F0" w:sz="6" w:space="0"/>
              <w:bottom w:val="single" w:color="E2E8F0" w:sz="6" w:space="0"/>
              <w:right w:val="single" w:color="E2E8F0" w:sz="6" w:space="0"/>
            </w:tcBorders>
            <w:shd w:val="clear" w:color="auto" w:fill="F8FAFC"/>
          </w:tcPr>
          <w:p w14:paraId="7F31D31A">
            <w:pPr>
              <w:pStyle w:val="24"/>
              <w:jc w:val="left"/>
            </w:pPr>
            <w:r>
              <w:rPr>
                <w:rFonts w:ascii="Times New Roman" w:hAnsi="Times New Roman" w:eastAsia="微软雅黑"/>
                <w:sz w:val="22"/>
              </w:rPr>
              <w:t>输出对比报告，每个指标并列显示两家数据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56DBACFA">
            <w:pPr>
              <w:pStyle w:val="24"/>
              <w:jc w:val="left"/>
            </w:pPr>
            <w:r>
              <w:rPr>
                <w:rFonts w:ascii="Times New Roman" w:hAnsi="Times New Roman" w:eastAsia="微软雅黑"/>
                <w:sz w:val="22"/>
              </w:rPr>
              <w:t>横向对比表格是否清晰</w:t>
            </w:r>
          </w:p>
        </w:tc>
      </w:tr>
      <w:tr w14:paraId="5C783B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3423232">
            <w:pPr>
              <w:pStyle w:val="24"/>
              <w:jc w:val="left"/>
            </w:pPr>
            <w:r>
              <w:rPr>
                <w:rFonts w:ascii="Times New Roman" w:hAnsi="Times New Roman" w:eastAsia="微软雅黑"/>
                <w:sz w:val="22"/>
              </w:rPr>
              <w:t>第三轮</w:t>
            </w:r>
          </w:p>
        </w:tc>
        <w:tc>
          <w:tcPr>
            <w:tcBorders>
              <w:top w:val="single" w:color="E2E8F0" w:sz="6" w:space="0"/>
              <w:left w:val="single" w:color="E2E8F0" w:sz="6" w:space="0"/>
              <w:bottom w:val="single" w:color="E2E8F0" w:sz="6" w:space="0"/>
              <w:right w:val="single" w:color="E2E8F0" w:sz="6" w:space="0"/>
            </w:tcBorders>
          </w:tcPr>
          <w:p w14:paraId="34D14F4B">
            <w:pPr>
              <w:pStyle w:val="24"/>
              <w:jc w:val="left"/>
            </w:pPr>
            <w:r>
              <w:rPr>
                <w:rFonts w:ascii="Times New Roman" w:hAnsi="Times New Roman" w:eastAsia="微软雅黑"/>
                <w:sz w:val="22"/>
              </w:rPr>
              <w:t>输入不完整数据（缺少存货信息）</w:t>
            </w:r>
          </w:p>
        </w:tc>
        <w:tc>
          <w:tcPr>
            <w:tcBorders>
              <w:top w:val="single" w:color="E2E8F0" w:sz="6" w:space="0"/>
              <w:left w:val="single" w:color="E2E8F0" w:sz="6" w:space="0"/>
              <w:bottom w:val="single" w:color="E2E8F0" w:sz="6" w:space="0"/>
              <w:right w:val="single" w:color="E2E8F0" w:sz="6" w:space="0"/>
            </w:tcBorders>
          </w:tcPr>
          <w:p w14:paraId="681354FE">
            <w:pPr>
              <w:pStyle w:val="24"/>
              <w:jc w:val="left"/>
            </w:pPr>
            <w:r>
              <w:rPr>
                <w:rFonts w:ascii="Times New Roman" w:hAnsi="Times New Roman" w:eastAsia="微软雅黑"/>
                <w:sz w:val="22"/>
              </w:rPr>
              <w:t>注明无法计算存货周转率，不猜测</w:t>
            </w:r>
          </w:p>
        </w:tc>
        <w:tc>
          <w:tcPr>
            <w:tcBorders>
              <w:top w:val="single" w:color="E2E8F0" w:sz="6" w:space="0"/>
              <w:left w:val="single" w:color="E2E8F0" w:sz="6" w:space="0"/>
              <w:bottom w:val="single" w:color="E2E8F0" w:sz="6" w:space="0"/>
              <w:right w:val="single" w:color="E2E8F0" w:sz="6" w:space="0"/>
            </w:tcBorders>
          </w:tcPr>
          <w:p w14:paraId="3D77F927">
            <w:pPr>
              <w:pStyle w:val="24"/>
              <w:jc w:val="left"/>
            </w:pPr>
            <w:r>
              <w:rPr>
                <w:rFonts w:ascii="Times New Roman" w:hAnsi="Times New Roman" w:eastAsia="微软雅黑"/>
                <w:sz w:val="22"/>
              </w:rPr>
              <w:t>缺失数据的处理逻辑</w:t>
            </w:r>
          </w:p>
        </w:tc>
      </w:tr>
      <w:bookmarkEnd w:id="61"/>
    </w:tbl>
    <w:p w14:paraId="110D8973">
      <w:pPr>
        <w:pStyle w:val="5"/>
      </w:pPr>
      <w:bookmarkStart w:id="62" w:name="从测试中优化提示词"/>
      <w:r>
        <w:rPr>
          <w:rFonts w:ascii="Times New Roman" w:hAnsi="Times New Roman" w:eastAsia="微软雅黑"/>
          <w:sz w:val="24"/>
        </w:rPr>
        <w:t>3. 从测试中优化提示词</w:t>
      </w:r>
    </w:p>
    <w:p w14:paraId="29440127">
      <w:pPr>
        <w:pStyle w:val="23"/>
      </w:pPr>
      <w:r>
        <w:rPr>
          <w:rFonts w:ascii="Times New Roman" w:hAnsi="Times New Roman" w:eastAsia="微软雅黑"/>
          <w:sz w:val="24"/>
        </w:rPr>
        <w:t>第一轮测试后，重点检查知识库引用是否生效。检验方法：把测试中某个指标的行业参考范围，和知识库文档中的数值对比，确认来源一致。如果智能体给出的参考范围和知识库不一致，可能是两种原因：知识库文档没有被成功关联，或者系统提示词中没有明确引导智能体优先使用知识库。</w:t>
      </w:r>
    </w:p>
    <w:p w14:paraId="4970F265">
      <w:pPr>
        <w:pStyle w:val="3"/>
      </w:pPr>
      <w:r>
        <w:rPr>
          <w:rFonts w:ascii="Times New Roman" w:hAnsi="Times New Roman" w:eastAsia="微软雅黑"/>
          <w:sz w:val="24"/>
        </w:rPr>
        <w:t>针对后者，在系统提示词的第一步中加入更明确的指令：</w:t>
      </w:r>
    </w:p>
    <w:p w14:paraId="35C2F8F4">
      <w:pPr>
        <w:pStyle w:val="13"/>
      </w:pPr>
      <w:r>
        <w:rPr>
          <w:rFonts w:ascii="Times New Roman" w:hAnsi="Times New Roman" w:eastAsia="微软雅黑"/>
          <w:sz w:val="24"/>
        </w:rPr>
        <w:t>“</w:t>
      </w:r>
      <w:r>
        <w:rPr>
          <w:rFonts w:ascii="Times New Roman" w:hAnsi="Times New Roman" w:eastAsia="微软雅黑"/>
          <w:b/>
          <w:bCs/>
          <w:sz w:val="24"/>
        </w:rPr>
        <w:t>必须</w:t>
      </w:r>
      <w:r>
        <w:rPr>
          <w:rFonts w:ascii="Times New Roman" w:hAnsi="Times New Roman" w:eastAsia="微软雅黑"/>
          <w:sz w:val="24"/>
        </w:rPr>
        <w:t>先查询知识库中对应行业的参考数据，再进行评价。如知识库中没有该行业的数据，明确告知用户’知识库中暂无该行业参考数据，以下评价基于一般财务分析经验’。”</w:t>
      </w:r>
    </w:p>
    <w:p w14:paraId="6006B050">
      <w:pPr>
        <w:pStyle w:val="23"/>
      </w:pPr>
      <w:r>
        <w:rPr>
          <w:rFonts w:ascii="Times New Roman" w:hAnsi="Times New Roman" w:eastAsia="微软雅黑"/>
          <w:sz w:val="24"/>
        </w:rPr>
        <w:t>第二轮测试后，检查横向对比表格的可读性。如果格式不够清晰，在“输出格式”部分补充示例，明确指定对比表的结构。</w:t>
      </w:r>
    </w:p>
    <w:p w14:paraId="6E6700F1">
      <w:pPr>
        <w:pStyle w:val="3"/>
      </w:pPr>
      <w:r>
        <w:rPr>
          <w:rFonts w:ascii="Times New Roman" w:hAnsi="Times New Roman" w:eastAsia="微软雅黑"/>
          <w:sz w:val="24"/>
        </w:rPr>
        <w:t>第三轮测试是验证边界处理的关键：智能体应该注明“缺少存货数据，无法计算存货周转率”，而不是用0或其他数值代替。如果智能体在数据不足时仍然给出了数值，需要在“能力边界”部分加入更严格的约束条款。</w:t>
      </w:r>
    </w:p>
    <w:bookmarkEnd w:id="62"/>
    <w:p w14:paraId="064D06F9">
      <w:pPr>
        <w:pStyle w:val="5"/>
      </w:pPr>
      <w:bookmarkStart w:id="63" w:name="发布后的维护建议"/>
      <w:r>
        <w:rPr>
          <w:rFonts w:ascii="Times New Roman" w:hAnsi="Times New Roman" w:eastAsia="微软雅黑"/>
          <w:sz w:val="24"/>
        </w:rPr>
        <w:t>4. 发布后的维护建议</w:t>
      </w:r>
    </w:p>
    <w:p w14:paraId="5975220E">
      <w:pPr>
        <w:pStyle w:val="23"/>
      </w:pPr>
      <w:r>
        <w:rPr>
          <w:rFonts w:ascii="Times New Roman" w:hAnsi="Times New Roman" w:eastAsia="微软雅黑"/>
          <w:sz w:val="24"/>
        </w:rPr>
        <w:t>这个智能体在使用中会遇到各种没有预想到的数据格式和行业类型，建议建立一个简单的使用反馈机制：每次使用后记录一条“有效/有问题/行业知识库缺失”的简短记录。累积10—15条记录后做一次集中优化，更新系统提示词或补充知识库内容。</w:t>
      </w:r>
    </w:p>
    <w:p w14:paraId="106671AF">
      <w:pPr>
        <w:pStyle w:val="3"/>
      </w:pPr>
      <w:r>
        <w:rPr>
          <w:rFonts w:ascii="Times New Roman" w:hAnsi="Times New Roman" w:eastAsia="微软雅黑"/>
          <w:sz w:val="24"/>
        </w:rPr>
        <w:t>知识库是需要维护的——行业平均指标会随市场情况变化，每隔半年到一年更新一次知识库中的参考值，保证智能体给出的行业对比有实际参考意义。</w:t>
      </w:r>
    </w:p>
    <w:p w14:paraId="1FD8FC4A">
      <w:r>
        <w:pict>
          <v:rect id="_x0000_i1051" o:spt="1" style="height:1.5pt;width:0pt;" coordsize="21600,21600" o:hr="t" o:hrstd="t" o:hralign="center">
            <v:path/>
            <v:fill focussize="0,0"/>
            <v:stroke/>
            <v:imagedata o:title=""/>
            <o:lock v:ext="edit"/>
            <w10:wrap type="none"/>
            <w10:anchorlock/>
          </v:rect>
        </w:pict>
      </w:r>
    </w:p>
    <w:bookmarkEnd w:id="50"/>
    <w:bookmarkEnd w:id="59"/>
    <w:bookmarkEnd w:id="63"/>
    <w:p>
      <w:pPr>
        <w:pStyle w:val="4"/>
      </w:pPr>
      <w:r>
        <w:rPr>
          <w:rFonts w:ascii="Times New Roman" w:hAnsi="Times New Roman" w:eastAsia="微软雅黑"/>
          <w:sz w:val="24"/>
        </w:rPr>
        <w:t xml:space="preserve">【小试牛刀】给综合评价智能体设计一套“行业错配”防呆规则</w:t>
      </w:r>
    </w:p>
    <w:p>
      <w:pPr>
        <w:pStyle w:val="3"/>
      </w:pPr>
      <w:r>
        <w:rPr>
          <w:rFonts w:ascii="Times New Roman" w:hAnsi="Times New Roman" w:eastAsia="微软雅黑"/>
          <w:sz w:val="24"/>
        </w:rPr>
        <w:t xml:space="preserve">（1）在扣子平台创建智能体，按照7.4.2整理一份包含餐饮业与零售业两套参考指标的知识库文档并上传。</w:t>
      </w:r>
    </w:p>
    <w:p>
      <w:pPr>
        <w:pStyle w:val="3"/>
      </w:pPr>
      <w:r>
        <w:rPr>
          <w:rFonts w:ascii="Times New Roman" w:hAnsi="Times New Roman" w:eastAsia="微软雅黑"/>
          <w:sz w:val="24"/>
        </w:rPr>
        <w:t xml:space="preserve">（2）向智能体输入A公司的财务数据，但不明确说明所属行业，观察智能体是否会主动询问行业或错误套用通用标准，记录其回答。</w:t>
      </w:r>
    </w:p>
    <w:p>
      <w:pPr>
        <w:pStyle w:val="3"/>
      </w:pPr>
      <w:r>
        <w:rPr>
          <w:rFonts w:ascii="Times New Roman" w:hAnsi="Times New Roman" w:eastAsia="微软雅黑"/>
          <w:sz w:val="24"/>
        </w:rPr>
        <w:t xml:space="preserve">（3）修改系统提示词的第一步规则：增加“未指明行业时必须主动向用户确认所属行业，严禁直接套用非对应行业标准”的硬性约束。</w:t>
      </w:r>
    </w:p>
    <w:p>
      <w:pPr>
        <w:pStyle w:val="3"/>
      </w:pPr>
      <w:r>
        <w:rPr>
          <w:rFonts w:ascii="Times New Roman" w:hAnsi="Times New Roman" w:eastAsia="微软雅黑"/>
          <w:sz w:val="24"/>
        </w:rPr>
        <w:t xml:space="preserve">（4）重新输入相同数据进行复测，验证防呆规则是否生效，并将优化前后的两轮测试对话记录并排贴入实验记录。</w:t>
      </w:r>
    </w:p>
    <w:p w14:paraId="414C0AA0">
      <w:pPr>
        <w:pStyle w:val="4"/>
      </w:pPr>
      <w:bookmarkStart w:id="64" w:name="善学勤思-3"/>
      <w:r>
        <w:rPr>
          <w:rFonts w:ascii="Times New Roman" w:hAnsi="Times New Roman" w:eastAsia="微软雅黑"/>
          <w:sz w:val="24"/>
        </w:rPr>
        <w:t>【善学勤思】</w:t>
      </w:r>
    </w:p>
    <w:p w14:paraId="7DC7E09A">
      <w:pPr>
        <w:pStyle w:val="24"/>
        <w:numPr>
          <w:ilvl w:val="0"/>
          <w:numId w:val="6"/>
        </w:numPr>
      </w:pPr>
      <w:r>
        <w:rPr>
          <w:rFonts w:ascii="Times New Roman" w:hAnsi="Times New Roman" w:eastAsia="微软雅黑"/>
          <w:sz w:val="24"/>
        </w:rPr>
        <w:t>表7-18对比了三个项目智能体的能力。从项目5到项目7，智能体对系统提示词的要求在哪个方面提升最明显？这背后反映了什么规律？</w:t>
      </w:r>
    </w:p>
    <w:p w14:paraId="1A998C39">
      <w:pPr>
        <w:pStyle w:val="24"/>
        <w:numPr>
          <w:ilvl w:val="0"/>
          <w:numId w:val="6"/>
        </w:numPr>
      </w:pPr>
      <w:r>
        <w:rPr>
          <w:rFonts w:ascii="Times New Roman" w:hAnsi="Times New Roman" w:eastAsia="微软雅黑"/>
          <w:sz w:val="24"/>
        </w:rPr>
        <w:t>行业参照知识库文档中，建议每条数据都注明来源。如果不注明来源，会带来什么问题？</w:t>
      </w:r>
    </w:p>
    <w:p w14:paraId="7A3A97E7">
      <w:pPr>
        <w:pStyle w:val="24"/>
        <w:numPr>
          <w:ilvl w:val="0"/>
          <w:numId w:val="6"/>
        </w:numPr>
      </w:pPr>
      <w:r>
        <w:rPr>
          <w:rFonts w:ascii="Times New Roman" w:hAnsi="Times New Roman" w:eastAsia="微软雅黑"/>
          <w:sz w:val="24"/>
        </w:rPr>
        <w:t>7.4.3中的第三轮测试（输入不完整数据）检验的是什么能力？你认为一个好的智能体在遇到“数据不够用”时，应该怎么处理才最合适？</w:t>
      </w:r>
    </w:p>
    <w:p w14:paraId="2F6ABB91">
      <w:r>
        <w:pict>
          <v:rect id="_x0000_i1052" o:spt="1" style="height:1.5pt;width:0pt;" coordsize="21600,21600" o:hr="t" o:hrstd="t" o:hralign="center">
            <v:path/>
            <v:fill focussize="0,0"/>
            <v:stroke/>
            <v:imagedata o:title=""/>
            <o:lock v:ext="edit"/>
            <w10:wrap type="none"/>
            <w10:anchorlock/>
          </v:rect>
        </w:pict>
      </w:r>
    </w:p>
    <w:bookmarkEnd w:id="64"/>
    <w:p>
      <w:pPr>
        <w:pStyle w:val="4"/>
      </w:pPr>
      <w:r>
        <w:rPr>
          <w:rFonts w:ascii="Times New Roman" w:hAnsi="Times New Roman" w:eastAsia="微软雅黑"/>
          <w:sz w:val="24"/>
        </w:rPr>
        <w:t xml:space="preserve">【项目核心实操】</w:t>
      </w:r>
    </w:p>
    <w:p>
      <w:pPr>
        <w:pStyle w:val="3"/>
      </w:pPr>
      <w:r>
        <w:rPr>
          <w:rFonts w:ascii="Times New Roman" w:hAnsi="Times New Roman" w:eastAsia="微软雅黑"/>
          <w:sz w:val="24"/>
        </w:rPr>
        <w:t xml:space="preserve">这一部分，把“比率计算→基准对照→杜邦分析→报告撰写→搭智能体”完整走一遍。交给你的不是一份孤立的评价表，而是一套能复用的企业综合评价流程。</w:t>
      </w:r>
    </w:p>
    <w:p>
      <w:pPr>
        <w:pStyle w:val="5"/>
      </w:pPr>
      <w:r>
        <w:rPr>
          <w:rFonts w:ascii="Times New Roman" w:hAnsi="Times New Roman" w:eastAsia="微软雅黑"/>
          <w:sz w:val="24"/>
        </w:rPr>
        <w:t xml:space="preserve">一、任务场景</w:t>
      </w:r>
    </w:p>
    <w:p>
      <w:pPr>
        <w:pStyle w:val="3"/>
      </w:pPr>
      <w:r>
        <w:rPr>
          <w:rFonts w:ascii="Times New Roman" w:hAnsi="Times New Roman" w:eastAsia="微软雅黑"/>
          <w:sz w:val="24"/>
        </w:rPr>
        <w:t xml:space="preserve">明远投资公司计划对两家连锁餐饮企业进行信贷审查与股权投资综合评估。企业A为全书贯穿案例鲜合餐饮，企业B为同行竞争企业绿源餐饮。两家企业提交了上一年度的财务报表及关键经营数据（详见本项目表7-2、表7-5、表7-9、表7-10及表7-14）。分析团队需要完成完整的比率计算与杜邦分析，撰写综合评价报告，并将这套评价机制固化为配置行业知识库的“财务指标综合评价助手”。</w:t>
      </w:r>
    </w:p>
    <w:p>
      <w:pPr>
        <w:pStyle w:val="5"/>
      </w:pPr>
      <w:r>
        <w:rPr>
          <w:rFonts w:ascii="Times New Roman" w:hAnsi="Times New Roman" w:eastAsia="微软雅黑"/>
          <w:sz w:val="24"/>
        </w:rPr>
        <w:t xml:space="preserve">二、任务要求</w:t>
      </w:r>
    </w:p>
    <w:p>
      <w:pPr>
        <w:pStyle w:val="5"/>
      </w:pPr>
      <w:r>
        <w:rPr>
          <w:rFonts w:ascii="Times New Roman" w:hAnsi="Times New Roman" w:eastAsia="微软雅黑"/>
          <w:sz w:val="24"/>
        </w:rPr>
        <w:t xml:space="preserve">第一步  先不借助AI，独立梳理指标体系与计算底稿</w:t>
      </w:r>
    </w:p>
    <w:p>
      <w:pPr>
        <w:pStyle w:val="3"/>
      </w:pPr>
      <w:r>
        <w:rPr>
          <w:rFonts w:ascii="Times New Roman" w:hAnsi="Times New Roman" w:eastAsia="微软雅黑"/>
          <w:sz w:val="24"/>
        </w:rPr>
        <w:t xml:space="preserve">（1）在Excel中建立统一底稿，涵盖短期偿债（流动比率、速动比率、现金比率）、长期偿债（资产负债率、产权比率、利息保障倍数）、营运能力（应收账款周转天数、存货周转天数、总资产周转率）以及盈利回报（毛利率、净利率、ROA、ROE）共12个指标。</w:t>
      </w:r>
    </w:p>
    <w:p>
      <w:pPr>
        <w:pStyle w:val="3"/>
      </w:pPr>
      <w:r>
        <w:rPr>
          <w:rFonts w:ascii="Times New Roman" w:hAnsi="Times New Roman" w:eastAsia="微软雅黑"/>
          <w:sz w:val="24"/>
        </w:rPr>
        <w:t xml:space="preserve">（2）手动输入公式，计算A公司与B公司的全部指标值，保留1位小数（百分比保留1位小数）。</w:t>
      </w:r>
    </w:p>
    <w:p>
      <w:pPr>
        <w:pStyle w:val="3"/>
      </w:pPr>
      <w:r>
        <w:rPr>
          <w:rFonts w:ascii="Times New Roman" w:hAnsi="Times New Roman" w:eastAsia="微软雅黑"/>
          <w:sz w:val="24"/>
        </w:rPr>
        <w:t xml:space="preserve">（3）建立杜邦分析三因素拆解模型（净利率×总资产周转率×权益乘数），核对三者之积与直接计算ROE的误差，确保底稿逻辑闭环。</w:t>
      </w:r>
    </w:p>
    <w:p>
      <w:pPr>
        <w:pStyle w:val="5"/>
      </w:pPr>
      <w:r>
        <w:rPr>
          <w:rFonts w:ascii="Times New Roman" w:hAnsi="Times New Roman" w:eastAsia="微软雅黑"/>
          <w:sz w:val="24"/>
        </w:rPr>
        <w:t xml:space="preserve">第二步  行业基准对照与深层归因</w:t>
      </w:r>
    </w:p>
    <w:p>
      <w:pPr>
        <w:pStyle w:val="3"/>
      </w:pPr>
      <w:r>
        <w:rPr>
          <w:rFonts w:ascii="Times New Roman" w:hAnsi="Times New Roman" w:eastAsia="微软雅黑"/>
          <w:sz w:val="24"/>
        </w:rPr>
        <w:t xml:space="preserve">（1）对照表7-7的餐饮行业参考区间，对两家企业的12个指标逐项标定状态（正常/偏高/偏低/需关注）。</w:t>
      </w:r>
    </w:p>
    <w:p>
      <w:pPr>
        <w:pStyle w:val="3"/>
      </w:pPr>
      <w:r>
        <w:rPr>
          <w:rFonts w:ascii="Times New Roman" w:hAnsi="Times New Roman" w:eastAsia="微软雅黑"/>
          <w:sz w:val="24"/>
        </w:rPr>
        <w:t xml:space="preserve">（2）对比两家企业的优劣势：分别找出A公司与B公司最突出的2项优势指标与2项核心风险指标，并注明判断依据。</w:t>
      </w:r>
    </w:p>
    <w:p>
      <w:pPr>
        <w:pStyle w:val="3"/>
      </w:pPr>
      <w:r>
        <w:rPr>
          <w:rFonts w:ascii="Times New Roman" w:hAnsi="Times New Roman" w:eastAsia="微软雅黑"/>
          <w:sz w:val="24"/>
        </w:rPr>
        <w:t xml:space="preserve">（3）针对“B公司净利润更高（320万vs 280万）、ROE更高（32.0% vs 24.8%），但短期偿债吃紧且杠杆高企”的核心矛盾，写出一段不少于150字的归因分析。</w:t>
      </w:r>
    </w:p>
    <w:p>
      <w:pPr>
        <w:pStyle w:val="5"/>
      </w:pPr>
      <w:r>
        <w:rPr>
          <w:rFonts w:ascii="Times New Roman" w:hAnsi="Times New Roman" w:eastAsia="微软雅黑"/>
          <w:sz w:val="24"/>
        </w:rPr>
        <w:t xml:space="preserve">第三步  撰写综合评价报告：AI起草 + 人工定稿</w:t>
      </w:r>
    </w:p>
    <w:p>
      <w:pPr>
        <w:pStyle w:val="3"/>
      </w:pPr>
      <w:r>
        <w:rPr>
          <w:rFonts w:ascii="Times New Roman" w:hAnsi="Times New Roman" w:eastAsia="微软雅黑"/>
          <w:sz w:val="24"/>
        </w:rPr>
        <w:t xml:space="preserve">（1）使用7.4.3的系统提示词模板，让AI基于两家企业的数据起草一份对比分析报告初稿。</w:t>
      </w:r>
    </w:p>
    <w:p>
      <w:pPr>
        <w:pStyle w:val="3"/>
      </w:pPr>
      <w:r>
        <w:rPr>
          <w:rFonts w:ascii="Times New Roman" w:hAnsi="Times New Roman" w:eastAsia="微软雅黑"/>
          <w:sz w:val="24"/>
        </w:rPr>
        <w:t xml:space="preserve">（2）逐句核对初稿中的数字：重点核查比率数值、行业参考区间以及杜邦分解乘积是否准确无误。</w:t>
      </w:r>
    </w:p>
    <w:p>
      <w:pPr>
        <w:pStyle w:val="3"/>
      </w:pPr>
      <w:r>
        <w:rPr>
          <w:rFonts w:ascii="Times New Roman" w:hAnsi="Times New Roman" w:eastAsia="微软雅黑"/>
          <w:sz w:val="24"/>
        </w:rPr>
        <w:t xml:space="preserve">（3）人工深度修订：至少补入1条两家企业的商业模式差异背景（如直营扩张vs供应链杠杆）、删去1处没有数据支撑的空泛断言，调整报告语气使其符合专业投资风控要求。</w:t>
      </w:r>
    </w:p>
    <w:p>
      <w:pPr>
        <w:pStyle w:val="3"/>
      </w:pPr>
      <w:r>
        <w:rPr>
          <w:rFonts w:ascii="Times New Roman" w:hAnsi="Times New Roman" w:eastAsia="微软雅黑"/>
          <w:sz w:val="24"/>
        </w:rPr>
        <w:t xml:space="preserve">（4）定稿不少于300字，必须包含偿债能力、营运效率、盈利回报、杜邦驱动分析及最终的信贷与投资建议。</w:t>
      </w:r>
    </w:p>
    <w:p>
      <w:pPr>
        <w:pStyle w:val="5"/>
      </w:pPr>
      <w:r>
        <w:rPr>
          <w:rFonts w:ascii="Times New Roman" w:hAnsi="Times New Roman" w:eastAsia="微软雅黑"/>
          <w:sz w:val="24"/>
        </w:rPr>
        <w:t xml:space="preserve">第四步  搭建“财务指标综合评价助手”智能体</w:t>
      </w:r>
    </w:p>
    <w:p>
      <w:pPr>
        <w:pStyle w:val="3"/>
      </w:pPr>
      <w:r>
        <w:rPr>
          <w:rFonts w:ascii="Times New Roman" w:hAnsi="Times New Roman" w:eastAsia="微软雅黑"/>
          <w:sz w:val="24"/>
        </w:rPr>
        <w:t xml:space="preserve">（1）在扣子平台创建智能体，配置系统提示词（包含角色与定位、分析流程、输出格式、能力边界四大模块）。</w:t>
      </w:r>
    </w:p>
    <w:p>
      <w:pPr>
        <w:pStyle w:val="3"/>
      </w:pPr>
      <w:r>
        <w:rPr>
          <w:rFonts w:ascii="Times New Roman" w:hAnsi="Times New Roman" w:eastAsia="微软雅黑"/>
          <w:sz w:val="24"/>
        </w:rPr>
        <w:t xml:space="preserve">（2）编写并上传“餐饮行业财务比率参考知识库”文档，确保包含偿债、营运、盈利三类指标的参考区间与业务解释。</w:t>
      </w:r>
    </w:p>
    <w:p>
      <w:pPr>
        <w:pStyle w:val="3"/>
      </w:pPr>
      <w:r>
        <w:rPr>
          <w:rFonts w:ascii="Times New Roman" w:hAnsi="Times New Roman" w:eastAsia="微软雅黑"/>
          <w:sz w:val="24"/>
        </w:rPr>
        <w:t xml:space="preserve">（3）执行三轮标准化测试：第一轮单家企业（A公司）基准评价；第二轮两家企业（A公司与B公司）横向对比；第三轮缺失数据（缺少存货数据）边界测试。记录智能体表现，针对暴露出的问题至少优化一轮系统提示词，并完成复测。</w:t>
      </w:r>
    </w:p>
    <w:p>
      <w:pPr>
        <w:pStyle w:val="5"/>
      </w:pPr>
      <w:r>
        <w:rPr>
          <w:rFonts w:ascii="Times New Roman" w:hAnsi="Times New Roman" w:eastAsia="微软雅黑"/>
          <w:sz w:val="24"/>
        </w:rPr>
        <w:t xml:space="preserve">三、成果提交</w:t>
      </w:r>
    </w:p>
    <w:p>
      <w:pPr>
        <w:pStyle w:val="3"/>
      </w:pPr>
      <w:r>
        <w:rPr>
          <w:rFonts w:ascii="Times New Roman" w:hAnsi="Times New Roman" w:eastAsia="微软雅黑"/>
          <w:sz w:val="24"/>
        </w:rPr>
        <w:t xml:space="preserve">（1）财务比率计算与杜邦分析底稿Excel文件1份（含12项比率与杜邦模型）</w:t>
      </w:r>
    </w:p>
    <w:p>
      <w:pPr>
        <w:pStyle w:val="3"/>
      </w:pPr>
      <w:r>
        <w:rPr>
          <w:rFonts w:ascii="Times New Roman" w:hAnsi="Times New Roman" w:eastAsia="微软雅黑"/>
          <w:sz w:val="24"/>
        </w:rPr>
        <w:t xml:space="preserve">（2）两家企业关键指标对比与归因分析表1份</w:t>
      </w:r>
    </w:p>
    <w:p>
      <w:pPr>
        <w:pStyle w:val="3"/>
      </w:pPr>
      <w:r>
        <w:rPr>
          <w:rFonts w:ascii="Times New Roman" w:hAnsi="Times New Roman" w:eastAsia="微软雅黑"/>
          <w:sz w:val="24"/>
        </w:rPr>
        <w:t xml:space="preserve">（3）财务综合评价报告定稿1份（不少于300字，附AI初稿及人工修改说明）</w:t>
      </w:r>
    </w:p>
    <w:p>
      <w:pPr>
        <w:pStyle w:val="3"/>
      </w:pPr>
      <w:r>
        <w:rPr>
          <w:rFonts w:ascii="Times New Roman" w:hAnsi="Times New Roman" w:eastAsia="微软雅黑"/>
          <w:sz w:val="24"/>
        </w:rPr>
        <w:t xml:space="preserve">（4）智能体成果：系统提示词全文 + 知识库文档1份 + 三轮测试与提示词优化记录表</w:t>
      </w:r>
    </w:p>
    <w:p>
      <w:pPr>
        <w:pStyle w:val="3"/>
      </w:pPr>
      <w:r>
        <w:rPr>
          <w:rFonts w:ascii="Times New Roman" w:hAnsi="Times New Roman" w:eastAsia="微软雅黑"/>
          <w:sz w:val="24"/>
        </w:rPr>
        <w:t xml:space="preserve">（5）同桌互评圈注稿1份（指标计算与评价结论须有同桌签名确认）</w:t>
      </w:r>
    </w:p>
    <w:p>
      <w:pPr>
        <w:pStyle w:val="5"/>
      </w:pPr>
      <w:r>
        <w:rPr>
          <w:rFonts w:ascii="Times New Roman" w:hAnsi="Times New Roman" w:eastAsia="微软雅黑"/>
          <w:sz w:val="24"/>
        </w:rPr>
        <w:t xml:space="preserve">四、评分要点</w:t>
      </w:r>
    </w:p>
    <w:p>
      <w:pPr>
        <w:pStyle w:val="3"/>
      </w:pPr>
      <w:r>
        <w:rPr>
          <w:rFonts w:ascii="Times New Roman" w:hAnsi="Times New Roman" w:eastAsia="微软雅黑"/>
          <w:sz w:val="24"/>
        </w:rPr>
        <w:t xml:space="preserve">本任务满分100分，按全书统一的五个维度评分：</w:t>
      </w:r>
    </w:p>
    <w:p>
      <w:pPr>
        <w:pStyle w:val="3"/>
      </w:pPr>
      <w:r>
        <w:rPr>
          <w:rFonts w:ascii="Times New Roman" w:hAnsi="Times New Roman" w:eastAsia="微软雅黑"/>
          <w:sz w:val="24"/>
        </w:rPr>
        <w:t xml:space="preserve">A. 任务完整性（20分）：指标计算底稿、杜邦分析、基准对照、评价报告、智能体配置、测试与优化记录是否全部完成。</w:t>
      </w:r>
    </w:p>
    <w:p>
      <w:pPr>
        <w:pStyle w:val="3"/>
      </w:pPr>
      <w:r>
        <w:rPr>
          <w:rFonts w:ascii="Times New Roman" w:hAnsi="Times New Roman" w:eastAsia="微软雅黑"/>
          <w:sz w:val="24"/>
        </w:rPr>
        <w:t xml:space="preserve">B. 数据与操作准确性（25分）：比率计算（流动比率2.10/0.91、应收天数26/43天、存货天数27/55天、ROE 24.8%/32.0%、杜邦乘积24.9%/32.2%等）是否全部准确无误；行业基准对照是否正确；智能体测试数据与逻辑是否自洽。</w:t>
      </w:r>
    </w:p>
    <w:p>
      <w:pPr>
        <w:pStyle w:val="3"/>
      </w:pPr>
      <w:r>
        <w:rPr>
          <w:rFonts w:ascii="Times New Roman" w:hAnsi="Times New Roman" w:eastAsia="微软雅黑"/>
          <w:sz w:val="24"/>
        </w:rPr>
        <w:t xml:space="preserve">C. 专业分析与判断（25分）：能否深刻洞察B公司高ROE背后的高杠杆风险与营运周转短板；信贷审查与投资决策的评价重心是否区分得当；对AI初稿的修订是否展现出专业财务风控思考。</w:t>
      </w:r>
    </w:p>
    <w:p>
      <w:pPr>
        <w:pStyle w:val="3"/>
      </w:pPr>
      <w:r>
        <w:rPr>
          <w:rFonts w:ascii="Times New Roman" w:hAnsi="Times New Roman" w:eastAsia="微软雅黑"/>
          <w:sz w:val="24"/>
        </w:rPr>
        <w:t xml:space="preserve">D. 表达与呈现规范（15分）：报告逻辑严密、专业术语规范，表格设计清晰，提示词与知识库文档排版工整。</w:t>
      </w:r>
    </w:p>
    <w:p>
      <w:pPr>
        <w:pStyle w:val="3"/>
      </w:pPr>
      <w:r>
        <w:rPr>
          <w:rFonts w:ascii="Times New Roman" w:hAnsi="Times New Roman" w:eastAsia="微软雅黑"/>
          <w:sz w:val="24"/>
        </w:rPr>
        <w:t xml:space="preserve">E. 过程留痕与真实性（15分）：AI初稿与定稿对照清晰、修改理由具体，智能体测试问题与优化演进过程真实可溯，有同桌签名。</w:t>
      </w:r>
    </w:p>
    <w:p>
      <w:pPr>
        <w:pStyle w:val="3"/>
      </w:pPr>
      <w:r>
        <w:rPr>
          <w:rFonts w:ascii="Times New Roman" w:hAnsi="Times New Roman" w:eastAsia="微软雅黑"/>
          <w:sz w:val="24"/>
        </w:rPr>
        <w:t xml:space="preserve">成绩档次：优秀90—100分，良好80—89分，合格60—79分，不合格60分以下。</w:t>
      </w:r>
    </w:p>
    <w:p>
      <w:pPr>
        <w:pStyle w:val="5"/>
      </w:pPr>
      <w:r>
        <w:rPr>
          <w:rFonts w:ascii="Times New Roman" w:hAnsi="Times New Roman" w:eastAsia="微软雅黑"/>
          <w:sz w:val="24"/>
        </w:rPr>
        <w:t xml:space="preserve">五、拓展挑战（选做，不计入上述分数）</w:t>
      </w:r>
    </w:p>
    <w:p>
      <w:pPr>
        <w:pStyle w:val="3"/>
      </w:pPr>
      <w:r>
        <w:rPr>
          <w:rFonts w:ascii="Times New Roman" w:hAnsi="Times New Roman" w:eastAsia="微软雅黑"/>
          <w:sz w:val="24"/>
        </w:rPr>
        <w:t xml:space="preserve">（1）在知识库中增加医疗器械或零售行业基准数据，测试智能体在跨行业多主体混合输入时的识别与匹配能力。</w:t>
      </w:r>
    </w:p>
    <w:p>
      <w:pPr>
        <w:pStyle w:val="3"/>
      </w:pPr>
      <w:r>
        <w:rPr>
          <w:rFonts w:ascii="Times New Roman" w:hAnsi="Times New Roman" w:eastAsia="微软雅黑"/>
          <w:sz w:val="24"/>
        </w:rPr>
        <w:t xml:space="preserve">（2）尝试编写Mermaid交互式代码或HTML页面，将杜邦分析树状图做成动态悬停展示。</w:t>
      </w:r>
    </w:p>
    <w:p>
      <w:pPr>
        <w:pStyle w:val="3"/>
      </w:pPr>
      <w:r>
        <w:rPr>
          <w:rFonts w:ascii="Times New Roman" w:hAnsi="Times New Roman" w:eastAsia="微软雅黑"/>
          <w:sz w:val="24"/>
        </w:rPr>
        <w:t xml:space="preserve">（3）设计一个“异常指标警报规则”，当输入企业的流动比率低于1且资产负债率高于70%时自动输出醒目的风险预警提示。</w:t>
      </w:r>
    </w:p>
    <w:p w14:paraId="40EDCC9C">
      <w:pPr>
        <w:pStyle w:val="4"/>
      </w:pPr>
      <w:bookmarkStart w:id="65" w:name="项目总结"/>
      <w:r>
        <w:rPr>
          <w:rFonts w:ascii="Times New Roman" w:hAnsi="Times New Roman" w:eastAsia="微软雅黑"/>
          <w:sz w:val="24"/>
        </w:rPr>
        <w:t>【项目总结】</w:t>
      </w:r>
    </w:p>
    <w:p w14:paraId="6EEDEFDC">
      <w:pPr>
        <w:pStyle w:val="23"/>
      </w:pPr>
      <w:r>
        <w:rPr>
          <w:rFonts w:ascii="Times New Roman" w:hAnsi="Times New Roman" w:eastAsia="微软雅黑"/>
          <w:sz w:val="24"/>
        </w:rPr>
        <w:t>本项目从偿债能力、营运能力到盈利能力，再到整合三者的杜邦分析，构建了一套比项目6更深入的财务分析方法体系。配合行业参照智能体，让这套方法在实际使用中更有效率。</w:t>
      </w:r>
    </w:p>
    <w:p w14:paraId="4348C952">
      <w:pPr>
        <w:pStyle w:val="3"/>
      </w:pPr>
      <w:r>
        <w:rPr>
          <w:rFonts w:ascii="Times New Roman" w:hAnsi="Times New Roman" w:eastAsia="微软雅黑"/>
          <w:sz w:val="24"/>
        </w:rPr>
        <w:t>以下几点是本项目最核心的收获。</w:t>
      </w:r>
    </w:p>
    <w:p w14:paraId="05AEF649">
      <w:pPr>
        <w:pStyle w:val="3"/>
      </w:pPr>
      <w:r>
        <w:rPr>
          <w:rFonts w:ascii="Times New Roman" w:hAnsi="Times New Roman" w:eastAsia="微软雅黑"/>
          <w:b/>
          <w:bCs/>
          <w:sz w:val="24"/>
        </w:rPr>
        <w:t>财务比率的意义来自比较，不来自数字本身。</w:t>
      </w:r>
      <w:r>
        <w:t xml:space="preserve"> </w:t>
      </w:r>
      <w:r>
        <w:rPr>
          <w:rFonts w:ascii="Times New Roman" w:hAnsi="Times New Roman" w:eastAsia="微软雅黑"/>
          <w:sz w:val="24"/>
        </w:rPr>
        <w:t>流动比率1.2到底好不好，要看行业；净利率9%到底高不高，要看竞争对手；ROE 25%是靠经营效率赚来的还是靠高杠杆撑起来的，要看杜邦分解。脱离参照系的比率分析，只是计算，不是判断。</w:t>
      </w:r>
    </w:p>
    <w:p w14:paraId="006C4BDC">
      <w:pPr>
        <w:pStyle w:val="3"/>
      </w:pPr>
      <w:r>
        <w:rPr>
          <w:rFonts w:ascii="Times New Roman" w:hAnsi="Times New Roman" w:eastAsia="微软雅黑"/>
          <w:b/>
          <w:bCs/>
          <w:sz w:val="24"/>
        </w:rPr>
        <w:t>三类指标之间有内在联系，不能孤立看单一维度。</w:t>
      </w:r>
      <w:r>
        <w:t xml:space="preserve"> </w:t>
      </w:r>
      <w:r>
        <w:rPr>
          <w:rFonts w:ascii="Times New Roman" w:hAnsi="Times New Roman" w:eastAsia="微软雅黑"/>
          <w:sz w:val="24"/>
        </w:rPr>
        <w:t>B公司ROE高于A公司，但这是建立在高财务风险基础上的——偿债能力指标揭示了这一点。杜邦分析进一步证实，B公司的高ROE几乎完全来自权益乘数，而非经营效率。这种系统性的视角，是财务比率分析最大的价值所在。</w:t>
      </w:r>
    </w:p>
    <w:p w14:paraId="4401A15B">
      <w:pPr>
        <w:pStyle w:val="3"/>
      </w:pPr>
      <w:r>
        <w:rPr>
          <w:rFonts w:ascii="Times New Roman" w:hAnsi="Times New Roman" w:eastAsia="微软雅黑"/>
          <w:b/>
          <w:bCs/>
          <w:sz w:val="24"/>
        </w:rPr>
        <w:t>杜邦分析是连接三类指标的桥梁。</w:t>
      </w:r>
      <w:r>
        <w:t xml:space="preserve"> </w:t>
      </w:r>
      <w:r>
        <w:rPr>
          <w:rFonts w:ascii="Times New Roman" w:hAnsi="Times New Roman" w:eastAsia="微软雅黑"/>
          <w:sz w:val="24"/>
        </w:rPr>
        <w:t>它不只是把ROE拆成三个数字，而是揭示了一家企业“赚钱的方式”——是靠定价能力赚钱，还是靠规模效率赚钱，还是靠财务杠杆赚钱。不同的方式对应不同的风险和改进路径，这是杜邦分析的核心管理价值。</w:t>
      </w:r>
    </w:p>
    <w:p w14:paraId="5371F2FD">
      <w:pPr>
        <w:pStyle w:val="3"/>
      </w:pPr>
      <w:r>
        <w:rPr>
          <w:rFonts w:ascii="Times New Roman" w:hAnsi="Times New Roman" w:eastAsia="微软雅黑"/>
          <w:b/>
          <w:bCs/>
          <w:sz w:val="24"/>
        </w:rPr>
        <w:t>行业参照知识库是这个智能体的核心竞争力。</w:t>
      </w:r>
      <w:r>
        <w:t xml:space="preserve"> </w:t>
      </w:r>
      <w:r>
        <w:rPr>
          <w:rFonts w:ascii="Times New Roman" w:hAnsi="Times New Roman" w:eastAsia="微软雅黑"/>
          <w:sz w:val="24"/>
        </w:rPr>
        <w:t>没有行业参考值，综合评价智能体和普通AI问答没有本质区别；有了行业参考值，它就能给出更贴近实际的判断，这正是“专属知识库”的价值。知识库需要持续维护，不是一次性工作。</w:t>
      </w:r>
    </w:p>
    <w:p w14:paraId="58587890">
      <w:r>
        <w:pict>
          <v:rect id="_x0000_i1053" o:spt="1" style="height:1.5pt;width:0pt;" coordsize="21600,21600" o:hr="t" o:hrstd="t" o:hralign="center">
            <v:path/>
            <v:fill focussize="0,0"/>
            <v:stroke/>
            <v:imagedata o:title=""/>
            <o:lock v:ext="edit"/>
            <w10:wrap type="none"/>
            <w10:anchorlock/>
          </v:rect>
        </w:pict>
      </w:r>
    </w:p>
    <w:bookmarkEnd w:id="65"/>
    <w:p w14:paraId="76ED0DD1">
      <w:pPr>
        <w:pStyle w:val="4"/>
      </w:pPr>
      <w:bookmarkStart w:id="66" w:name="实践报告"/>
      <w:r>
        <w:rPr>
          <w:rFonts w:ascii="Times New Roman" w:hAnsi="Times New Roman" w:eastAsia="微软雅黑"/>
          <w:sz w:val="24"/>
        </w:rPr>
        <w:t>【实践报告】</w:t>
      </w:r>
    </w:p>
    <w:p w14:paraId="4C09382D">
      <w:pPr>
        <w:pStyle w:val="23"/>
      </w:pPr>
      <w:r>
        <w:rPr>
          <w:rFonts w:ascii="Times New Roman" w:hAnsi="Times New Roman" w:eastAsia="微软雅黑"/>
          <w:sz w:val="24"/>
        </w:rPr>
        <w:t>请按表7-20完成本项目的实践报告。</w:t>
      </w:r>
    </w:p>
    <w:p w14:paraId="0C257ED2">
      <w:pPr>
        <w:jc w:val="center"/>
        <w:pStyle w:val="3"/>
      </w:pPr>
      <w:r>
        <w:rPr>
          <w:rFonts w:ascii="Times New Roman" w:hAnsi="Times New Roman" w:eastAsia="微软雅黑"/>
          <w:b/>
          <w:bCs/>
          <w:sz w:val="24"/>
        </w:rPr>
        <w:t>表7-20 项目7实践报告模板</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970"/>
        <w:gridCol w:w="4950"/>
      </w:tblGrid>
      <w:tr w14:paraId="5A108CC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5C3AE45">
            <w:pPr>
              <w:pStyle w:val="24"/>
              <w:jc w:val="left"/>
            </w:pPr>
            <w:r>
              <w:rPr>
                <w:rFonts w:ascii="Times New Roman" w:hAnsi="Times New Roman" w:eastAsia="微软雅黑"/>
                <w:b/>
                <w:color w:val="1E3A8A"/>
                <w:sz w:val="22"/>
              </w:rPr>
              <w:t>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6B384DA2">
            <w:pPr>
              <w:pStyle w:val="24"/>
              <w:jc w:val="left"/>
            </w:pPr>
            <w:r>
              <w:rPr>
                <w:rFonts w:ascii="Times New Roman" w:hAnsi="Times New Roman" w:eastAsia="微软雅黑"/>
                <w:b/>
                <w:color w:val="1E3A8A"/>
                <w:sz w:val="22"/>
              </w:rPr>
              <w:t>内容填写</w:t>
            </w:r>
          </w:p>
        </w:tc>
      </w:tr>
      <w:tr w14:paraId="546CA3A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562D27B">
            <w:pPr>
              <w:pStyle w:val="24"/>
              <w:jc w:val="left"/>
            </w:pPr>
            <w:r>
              <w:rPr>
                <w:rFonts w:ascii="Times New Roman" w:hAnsi="Times New Roman" w:eastAsia="微软雅黑"/>
                <w:sz w:val="22"/>
              </w:rPr>
              <w:t>项目名称</w:t>
            </w:r>
          </w:p>
        </w:tc>
        <w:tc>
          <w:tcPr>
            <w:tcBorders>
              <w:top w:val="single" w:color="E2E8F0" w:sz="6" w:space="0"/>
              <w:left w:val="single" w:color="E2E8F0" w:sz="6" w:space="0"/>
              <w:bottom w:val="single" w:color="E2E8F0" w:sz="6" w:space="0"/>
              <w:right w:val="single" w:color="E2E8F0" w:sz="6" w:space="0"/>
            </w:tcBorders>
          </w:tcPr>
          <w:p w14:paraId="7BA35D97">
            <w:pPr>
              <w:pStyle w:val="24"/>
              <w:jc w:val="left"/>
            </w:pPr>
            <w:r>
              <w:rPr>
                <w:rFonts w:ascii="Times New Roman" w:hAnsi="Times New Roman" w:eastAsia="微软雅黑"/>
                <w:sz w:val="22"/>
              </w:rPr>
              <w:t>财务比率分析与智能综合评价</w:t>
            </w:r>
          </w:p>
        </w:tc>
      </w:tr>
      <w:tr w14:paraId="2DCDA6D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775D0A3">
            <w:pPr>
              <w:pStyle w:val="24"/>
              <w:jc w:val="left"/>
            </w:pPr>
            <w:r>
              <w:rPr>
                <w:rFonts w:ascii="Times New Roman" w:hAnsi="Times New Roman" w:eastAsia="微软雅黑"/>
                <w:sz w:val="22"/>
              </w:rPr>
              <w:t>我分析的企业（或案例数据来源）</w:t>
            </w:r>
          </w:p>
        </w:tc>
        <w:tc>
          <w:tcPr>
            <w:tcBorders>
              <w:top w:val="single" w:color="E2E8F0" w:sz="6" w:space="0"/>
              <w:left w:val="single" w:color="E2E8F0" w:sz="6" w:space="0"/>
              <w:bottom w:val="single" w:color="E2E8F0" w:sz="6" w:space="0"/>
              <w:right w:val="single" w:color="E2E8F0" w:sz="6" w:space="0"/>
            </w:tcBorders>
            <w:shd w:val="clear" w:color="auto" w:fill="F8FAFC"/>
          </w:tcPr>
          <w:p w14:paraId="7165C5B2">
            <w:pPr>
              <w:pStyle w:val="24"/>
              <w:jc w:val="left"/>
            </w:pPr>
            <w:r>
              <w:rPr>
                <w:rFonts w:ascii="Times New Roman" w:hAnsi="Times New Roman" w:eastAsia="微软雅黑"/>
                <w:sz w:val="22"/>
              </w:rPr>
              <w:t>（说明你用了哪家企业的数据，或自行选取的案例数据）</w:t>
            </w:r>
          </w:p>
        </w:tc>
      </w:tr>
      <w:tr w14:paraId="1D9BE37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D0B20F7">
            <w:pPr>
              <w:pStyle w:val="24"/>
              <w:jc w:val="left"/>
            </w:pPr>
            <w:r>
              <w:rPr>
                <w:rFonts w:ascii="Times New Roman" w:hAnsi="Times New Roman" w:eastAsia="微软雅黑"/>
                <w:sz w:val="22"/>
              </w:rPr>
              <w:t>偿债能力分析结果</w:t>
            </w:r>
          </w:p>
        </w:tc>
        <w:tc>
          <w:tcPr>
            <w:tcBorders>
              <w:top w:val="single" w:color="E2E8F0" w:sz="6" w:space="0"/>
              <w:left w:val="single" w:color="E2E8F0" w:sz="6" w:space="0"/>
              <w:bottom w:val="single" w:color="E2E8F0" w:sz="6" w:space="0"/>
              <w:right w:val="single" w:color="E2E8F0" w:sz="6" w:space="0"/>
            </w:tcBorders>
          </w:tcPr>
          <w:p w14:paraId="3FF1D4CB">
            <w:pPr>
              <w:pStyle w:val="24"/>
              <w:jc w:val="left"/>
            </w:pPr>
            <w:r>
              <w:rPr>
                <w:rFonts w:ascii="Times New Roman" w:hAnsi="Times New Roman" w:eastAsia="微软雅黑"/>
                <w:sz w:val="22"/>
              </w:rPr>
              <w:t>（列出计算的各项指标值，并给出简要评价）</w:t>
            </w:r>
          </w:p>
        </w:tc>
      </w:tr>
      <w:tr w14:paraId="7578F8A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7386A16">
            <w:pPr>
              <w:pStyle w:val="24"/>
              <w:jc w:val="left"/>
            </w:pPr>
            <w:r>
              <w:rPr>
                <w:rFonts w:ascii="Times New Roman" w:hAnsi="Times New Roman" w:eastAsia="微软雅黑"/>
                <w:sz w:val="22"/>
              </w:rPr>
              <w:t>营运能力分析结果</w:t>
            </w:r>
          </w:p>
        </w:tc>
        <w:tc>
          <w:tcPr>
            <w:tcBorders>
              <w:top w:val="single" w:color="E2E8F0" w:sz="6" w:space="0"/>
              <w:left w:val="single" w:color="E2E8F0" w:sz="6" w:space="0"/>
              <w:bottom w:val="single" w:color="E2E8F0" w:sz="6" w:space="0"/>
              <w:right w:val="single" w:color="E2E8F0" w:sz="6" w:space="0"/>
            </w:tcBorders>
            <w:shd w:val="clear" w:color="auto" w:fill="F8FAFC"/>
          </w:tcPr>
          <w:p w14:paraId="6AB06E97">
            <w:pPr>
              <w:pStyle w:val="24"/>
              <w:jc w:val="left"/>
            </w:pPr>
            <w:r>
              <w:rPr>
                <w:rFonts w:ascii="Times New Roman" w:hAnsi="Times New Roman" w:eastAsia="微软雅黑"/>
                <w:sz w:val="22"/>
              </w:rPr>
              <w:t>（列出应收账款周转天数、存货周转天数等，给出评价）</w:t>
            </w:r>
          </w:p>
        </w:tc>
      </w:tr>
      <w:tr w14:paraId="21B3963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C32B23A">
            <w:pPr>
              <w:pStyle w:val="24"/>
              <w:jc w:val="left"/>
            </w:pPr>
            <w:r>
              <w:rPr>
                <w:rFonts w:ascii="Times New Roman" w:hAnsi="Times New Roman" w:eastAsia="微软雅黑"/>
                <w:sz w:val="22"/>
              </w:rPr>
              <w:t>盈利能力分析结果</w:t>
            </w:r>
          </w:p>
        </w:tc>
        <w:tc>
          <w:tcPr>
            <w:tcBorders>
              <w:top w:val="single" w:color="E2E8F0" w:sz="6" w:space="0"/>
              <w:left w:val="single" w:color="E2E8F0" w:sz="6" w:space="0"/>
              <w:bottom w:val="single" w:color="E2E8F0" w:sz="6" w:space="0"/>
              <w:right w:val="single" w:color="E2E8F0" w:sz="6" w:space="0"/>
            </w:tcBorders>
          </w:tcPr>
          <w:p w14:paraId="65459B7F">
            <w:pPr>
              <w:pStyle w:val="24"/>
              <w:jc w:val="left"/>
            </w:pPr>
            <w:r>
              <w:rPr>
                <w:rFonts w:ascii="Times New Roman" w:hAnsi="Times New Roman" w:eastAsia="微软雅黑"/>
                <w:sz w:val="22"/>
              </w:rPr>
              <w:t>（列出净利率、ROA、ROE等，给出评价）</w:t>
            </w:r>
          </w:p>
        </w:tc>
      </w:tr>
      <w:tr w14:paraId="30414B7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C4DC9E9">
            <w:pPr>
              <w:pStyle w:val="24"/>
              <w:jc w:val="left"/>
            </w:pPr>
            <w:r>
              <w:rPr>
                <w:rFonts w:ascii="Times New Roman" w:hAnsi="Times New Roman" w:eastAsia="微软雅黑"/>
                <w:sz w:val="22"/>
              </w:rPr>
              <w:t>杜邦分析结果</w:t>
            </w:r>
          </w:p>
        </w:tc>
        <w:tc>
          <w:tcPr>
            <w:tcBorders>
              <w:top w:val="single" w:color="E2E8F0" w:sz="6" w:space="0"/>
              <w:left w:val="single" w:color="E2E8F0" w:sz="6" w:space="0"/>
              <w:bottom w:val="single" w:color="E2E8F0" w:sz="6" w:space="0"/>
              <w:right w:val="single" w:color="E2E8F0" w:sz="6" w:space="0"/>
            </w:tcBorders>
            <w:shd w:val="clear" w:color="auto" w:fill="F8FAFC"/>
          </w:tcPr>
          <w:p w14:paraId="73009423">
            <w:pPr>
              <w:pStyle w:val="24"/>
              <w:jc w:val="left"/>
            </w:pPr>
            <w:r>
              <w:rPr>
                <w:rFonts w:ascii="Times New Roman" w:hAnsi="Times New Roman" w:eastAsia="微软雅黑"/>
                <w:sz w:val="22"/>
              </w:rPr>
              <w:t>（写出三因素分解，说明哪个因素对ROE影响最大）</w:t>
            </w:r>
          </w:p>
        </w:tc>
      </w:tr>
      <w:tr w14:paraId="07A5372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6D4129E">
            <w:pPr>
              <w:pStyle w:val="24"/>
              <w:jc w:val="left"/>
            </w:pPr>
            <w:r>
              <w:rPr>
                <w:rFonts w:ascii="Times New Roman" w:hAnsi="Times New Roman" w:eastAsia="微软雅黑"/>
                <w:sz w:val="22"/>
              </w:rPr>
              <w:t>我搭建的智能体情况</w:t>
            </w:r>
          </w:p>
        </w:tc>
        <w:tc>
          <w:tcPr>
            <w:tcBorders>
              <w:top w:val="single" w:color="E2E8F0" w:sz="6" w:space="0"/>
              <w:left w:val="single" w:color="E2E8F0" w:sz="6" w:space="0"/>
              <w:bottom w:val="single" w:color="E2E8F0" w:sz="6" w:space="0"/>
              <w:right w:val="single" w:color="E2E8F0" w:sz="6" w:space="0"/>
            </w:tcBorders>
          </w:tcPr>
          <w:p w14:paraId="2547AF18">
            <w:pPr>
              <w:pStyle w:val="24"/>
              <w:jc w:val="left"/>
            </w:pPr>
            <w:r>
              <w:rPr>
                <w:rFonts w:ascii="Times New Roman" w:hAnsi="Times New Roman" w:eastAsia="微软雅黑"/>
                <w:sz w:val="22"/>
              </w:rPr>
              <w:t>（系统提示词的要点，知识库涵盖了哪些行业）</w:t>
            </w:r>
          </w:p>
        </w:tc>
      </w:tr>
      <w:tr w14:paraId="6AB5416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759CCBE">
            <w:pPr>
              <w:pStyle w:val="24"/>
              <w:jc w:val="left"/>
            </w:pPr>
            <w:r>
              <w:rPr>
                <w:rFonts w:ascii="Times New Roman" w:hAnsi="Times New Roman" w:eastAsia="微软雅黑"/>
                <w:sz w:val="22"/>
              </w:rPr>
              <w:t>测试中发现的问题</w:t>
            </w:r>
          </w:p>
        </w:tc>
        <w:tc>
          <w:tcPr>
            <w:tcBorders>
              <w:top w:val="single" w:color="E2E8F0" w:sz="6" w:space="0"/>
              <w:left w:val="single" w:color="E2E8F0" w:sz="6" w:space="0"/>
              <w:bottom w:val="single" w:color="E2E8F0" w:sz="6" w:space="0"/>
              <w:right w:val="single" w:color="E2E8F0" w:sz="6" w:space="0"/>
            </w:tcBorders>
            <w:shd w:val="clear" w:color="auto" w:fill="F8FAFC"/>
          </w:tcPr>
          <w:p w14:paraId="3411234A">
            <w:pPr>
              <w:pStyle w:val="24"/>
              <w:jc w:val="left"/>
            </w:pPr>
            <w:r>
              <w:rPr>
                <w:rFonts w:ascii="Times New Roman" w:hAnsi="Times New Roman" w:eastAsia="微软雅黑"/>
                <w:sz w:val="22"/>
              </w:rPr>
              <w:t>（三轮测试各发现了什么问题）</w:t>
            </w:r>
          </w:p>
        </w:tc>
      </w:tr>
      <w:tr w14:paraId="70D3D24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E837C3B">
            <w:pPr>
              <w:pStyle w:val="24"/>
              <w:jc w:val="left"/>
            </w:pPr>
            <w:r>
              <w:rPr>
                <w:rFonts w:ascii="Times New Roman" w:hAnsi="Times New Roman" w:eastAsia="微软雅黑"/>
                <w:sz w:val="22"/>
              </w:rPr>
              <w:t>我做的优化调整</w:t>
            </w:r>
          </w:p>
        </w:tc>
        <w:tc>
          <w:tcPr>
            <w:tcBorders>
              <w:top w:val="single" w:color="E2E8F0" w:sz="6" w:space="0"/>
              <w:left w:val="single" w:color="E2E8F0" w:sz="6" w:space="0"/>
              <w:bottom w:val="single" w:color="E2E8F0" w:sz="6" w:space="0"/>
              <w:right w:val="single" w:color="E2E8F0" w:sz="6" w:space="0"/>
            </w:tcBorders>
          </w:tcPr>
          <w:p w14:paraId="4378800F">
            <w:pPr>
              <w:pStyle w:val="24"/>
              <w:jc w:val="left"/>
            </w:pPr>
            <w:r>
              <w:rPr>
                <w:rFonts w:ascii="Times New Roman" w:hAnsi="Times New Roman" w:eastAsia="微软雅黑"/>
                <w:sz w:val="22"/>
              </w:rPr>
              <w:t>（针对测试问题做了什么修改）</w:t>
            </w:r>
          </w:p>
        </w:tc>
      </w:tr>
      <w:tr w14:paraId="1909BC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05258C2">
            <w:pPr>
              <w:pStyle w:val="24"/>
              <w:jc w:val="left"/>
            </w:pPr>
            <w:r>
              <w:rPr>
                <w:rFonts w:ascii="Times New Roman" w:hAnsi="Times New Roman" w:eastAsia="微软雅黑"/>
                <w:sz w:val="22"/>
              </w:rPr>
              <w:t>AI综合解读的质量评估</w:t>
            </w:r>
          </w:p>
        </w:tc>
        <w:tc>
          <w:tcPr>
            <w:tcBorders>
              <w:top w:val="single" w:color="E2E8F0" w:sz="6" w:space="0"/>
              <w:left w:val="single" w:color="E2E8F0" w:sz="6" w:space="0"/>
              <w:bottom w:val="single" w:color="E2E8F0" w:sz="6" w:space="0"/>
              <w:right w:val="single" w:color="E2E8F0" w:sz="6" w:space="0"/>
            </w:tcBorders>
            <w:shd w:val="clear" w:color="auto" w:fill="F8FAFC"/>
          </w:tcPr>
          <w:p w14:paraId="33753AED">
            <w:pPr>
              <w:pStyle w:val="24"/>
              <w:jc w:val="left"/>
            </w:pPr>
            <w:r>
              <w:rPr>
                <w:rFonts w:ascii="Times New Roman" w:hAnsi="Times New Roman" w:eastAsia="微软雅黑"/>
                <w:sz w:val="22"/>
              </w:rPr>
              <w:t>（你认为AI的解读在哪方面比较好用？哪方面还有明显不足？）</w:t>
            </w:r>
          </w:p>
        </w:tc>
      </w:tr>
      <w:tr w14:paraId="2AA5669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899F98C">
            <w:pPr>
              <w:pStyle w:val="24"/>
              <w:jc w:val="left"/>
            </w:pPr>
            <w:r>
              <w:rPr>
                <w:rFonts w:ascii="Times New Roman" w:hAnsi="Times New Roman" w:eastAsia="微软雅黑"/>
                <w:sz w:val="22"/>
              </w:rPr>
              <w:t>本项目最大的收获</w:t>
            </w:r>
          </w:p>
        </w:tc>
        <w:tc>
          <w:tcPr>
            <w:tcBorders>
              <w:top w:val="single" w:color="E2E8F0" w:sz="6" w:space="0"/>
              <w:left w:val="single" w:color="E2E8F0" w:sz="6" w:space="0"/>
              <w:bottom w:val="single" w:color="E2E8F0" w:sz="6" w:space="0"/>
              <w:right w:val="single" w:color="E2E8F0" w:sz="6" w:space="0"/>
            </w:tcBorders>
          </w:tcPr>
          <w:p w14:paraId="4DB6A57A">
            <w:pPr>
              <w:pStyle w:val="24"/>
              <w:jc w:val="left"/>
            </w:pPr>
            <w:r>
              <w:rPr>
                <w:rFonts w:ascii="Times New Roman" w:hAnsi="Times New Roman" w:eastAsia="微软雅黑"/>
                <w:sz w:val="22"/>
              </w:rPr>
              <w:t>（用具体的句子写3点，不要写笼统的感悟）</w:t>
            </w:r>
          </w:p>
        </w:tc>
      </w:tr>
      <w:tr w14:paraId="01FB842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C0BCD86">
            <w:pPr>
              <w:pStyle w:val="24"/>
              <w:jc w:val="left"/>
            </w:pPr>
            <w:r>
              <w:rPr>
                <w:rFonts w:ascii="Times New Roman" w:hAnsi="Times New Roman" w:eastAsia="微软雅黑"/>
                <w:sz w:val="22"/>
              </w:rPr>
              <w:t>还没解决的困惑</w:t>
            </w:r>
          </w:p>
        </w:tc>
        <w:tc>
          <w:tcPr>
            <w:tcBorders>
              <w:top w:val="single" w:color="E2E8F0" w:sz="6" w:space="0"/>
              <w:left w:val="single" w:color="E2E8F0" w:sz="6" w:space="0"/>
              <w:bottom w:val="single" w:color="E2E8F0" w:sz="6" w:space="0"/>
              <w:right w:val="single" w:color="E2E8F0" w:sz="6" w:space="0"/>
            </w:tcBorders>
            <w:shd w:val="clear" w:color="auto" w:fill="F8FAFC"/>
          </w:tcPr>
          <w:p w14:paraId="656B4A01">
            <w:pPr>
              <w:pStyle w:val="24"/>
              <w:jc w:val="left"/>
            </w:pPr>
            <w:r>
              <w:rPr>
                <w:rFonts w:ascii="Times New Roman" w:hAnsi="Times New Roman" w:eastAsia="微软雅黑"/>
                <w:sz w:val="22"/>
              </w:rPr>
              <w:t>（至少2点，越具体越好）</w:t>
            </w:r>
          </w:p>
        </w:tc>
      </w:tr>
    </w:tbl>
    <w:p w14:paraId="1B660342">
      <w:r>
        <w:pict>
          <v:rect id="_x0000_i1054" o:spt="1" style="height:1.5pt;width:0pt;" coordsize="21600,21600" o:hr="t" o:hrstd="t" o:hralign="center">
            <v:path/>
            <v:fill focussize="0,0"/>
            <v:stroke/>
            <v:imagedata o:title=""/>
            <o:lock v:ext="edit"/>
            <w10:wrap type="none"/>
            <w10:anchorlock/>
          </v:rect>
        </w:pict>
      </w:r>
    </w:p>
    <w:bookmarkEnd w:id="66"/>
    <w:p w14:paraId="543E88BB">
      <w:pPr>
        <w:pStyle w:val="4"/>
      </w:pPr>
      <w:bookmarkStart w:id="67" w:name="创新拓展"/>
      <w:r>
        <w:rPr>
          <w:rFonts w:ascii="Times New Roman" w:hAnsi="Times New Roman" w:eastAsia="微软雅黑"/>
          <w:sz w:val="24"/>
        </w:rPr>
        <w:t>【创新拓展】</w:t>
      </w:r>
    </w:p>
    <w:p w14:paraId="15914812">
      <w:pPr>
        <w:pStyle w:val="5"/>
      </w:pPr>
      <w:bookmarkStart w:id="68" w:name="让ai生成杜邦分析的html图表展示页选学"/>
      <w:r>
        <w:rPr>
          <w:rFonts w:ascii="Times New Roman" w:hAnsi="Times New Roman" w:eastAsia="微软雅黑"/>
          <w:sz w:val="24"/>
        </w:rPr>
        <w:t>让AI生成杜邦分析的HTML图表展示页（选学）</w:t>
      </w:r>
    </w:p>
    <w:p w14:paraId="3E90A411">
      <w:pPr>
        <w:pStyle w:val="23"/>
      </w:pPr>
      <w:r>
        <w:rPr>
          <w:rFonts w:ascii="Times New Roman" w:hAnsi="Times New Roman" w:eastAsia="微软雅黑"/>
          <w:sz w:val="24"/>
        </w:rPr>
        <w:t>Mermaid图虽然可以展示杜邦分析的树状结构，但样式比较固定，交互性也有限。对于需要对外呈现的分析报告，一张可以在浏览器中打开、样式美观的HTML杜邦分析图，会更有说服力。</w:t>
      </w:r>
    </w:p>
    <w:p w14:paraId="73F9592C">
      <w:pPr>
        <w:pStyle w:val="3"/>
      </w:pPr>
      <w:r>
        <w:rPr>
          <w:rFonts w:ascii="Times New Roman" w:hAnsi="Times New Roman" w:eastAsia="微软雅黑"/>
          <w:sz w:val="24"/>
        </w:rPr>
        <w:t>本节介绍如何用AI生成这样一个HTML文件，不需要掌握任何前端开发知识。</w:t>
      </w:r>
    </w:p>
    <w:p w14:paraId="7FAE57D6">
      <w:r>
        <w:pict>
          <v:rect id="_x0000_i1055" o:spt="1" style="height:1.5pt;width:0pt;" coordsize="21600,21600" o:hr="t" o:hrstd="t" o:hralign="center">
            <v:path/>
            <v:fill focussize="0,0"/>
            <v:stroke/>
            <v:imagedata o:title=""/>
            <o:lock v:ext="edit"/>
            <w10:wrap type="none"/>
            <w10:anchorlock/>
          </v:rect>
        </w:pict>
      </w:r>
    </w:p>
    <w:p w14:paraId="126296BB">
      <w:pPr>
        <w:pStyle w:val="5"/>
      </w:pPr>
      <w:bookmarkStart w:id="69" w:name="向ai描述你想要的图表效果"/>
      <w:r>
        <w:rPr>
          <w:rFonts w:ascii="Times New Roman" w:hAnsi="Times New Roman" w:eastAsia="微软雅黑"/>
          <w:sz w:val="24"/>
        </w:rPr>
        <w:t>1. 向AI描述你想要的图表效果</w:t>
      </w:r>
    </w:p>
    <w:p w14:paraId="50E7D307">
      <w:pPr>
        <w:pStyle w:val="23"/>
      </w:pPr>
      <w:r>
        <w:rPr>
          <w:rFonts w:ascii="Times New Roman" w:hAnsi="Times New Roman" w:eastAsia="微软雅黑"/>
          <w:sz w:val="24"/>
        </w:rPr>
        <w:t>清楚地描述图表的样式和内容，是这个任务能不能成功的关键。以下是一个效果较好的提示词示例：</w:t>
      </w:r>
    </w:p>
    <w:p w14:paraId="35669D0F">
      <w:pPr>
        <w:pStyle w:val="13"/>
      </w:pPr>
      <w:r>
        <w:rPr>
          <w:rFonts w:ascii="Times New Roman" w:hAnsi="Times New Roman" w:eastAsia="微软雅黑"/>
          <w:sz w:val="24"/>
        </w:rPr>
        <w:t>“请帮我生成一个HTML文件，展示A公司的杜邦分析结构图。要求：</w:t>
      </w:r>
    </w:p>
    <w:p w14:paraId="5828FD5D">
      <w:pPr>
        <w:pStyle w:val="13"/>
        <w:numPr>
          <w:ilvl w:val="0"/>
          <w:numId w:val="7"/>
        </w:numPr>
      </w:pPr>
      <w:r>
        <w:rPr>
          <w:rFonts w:ascii="Times New Roman" w:hAnsi="Times New Roman" w:eastAsia="微软雅黑"/>
          <w:sz w:val="24"/>
        </w:rPr>
        <w:t>使用层级树状结构，从顶层ROE开始，向下分为三个因素（净利率、总资产周转率、权益乘数），每个因素再向下展开其计算来源的会计数据</w:t>
      </w:r>
    </w:p>
    <w:p w14:paraId="35FDFB69">
      <w:pPr>
        <w:pStyle w:val="13"/>
        <w:numPr>
          <w:ilvl w:val="0"/>
          <w:numId w:val="7"/>
        </w:numPr>
      </w:pPr>
      <w:r>
        <w:rPr>
          <w:rFonts w:ascii="Times New Roman" w:hAnsi="Times New Roman" w:eastAsia="微软雅黑"/>
          <w:sz w:val="24"/>
        </w:rPr>
        <w:t>数据如下：ROE=24.9%；净利率=9.8%（净利润280万÷收入2860万）；总资产周转率=1.55次（收入2860万÷总资产1850万）；权益乘数=1.64（总资产1850万÷净资产1130万）</w:t>
      </w:r>
    </w:p>
    <w:p w14:paraId="30CED2CB">
      <w:pPr>
        <w:pStyle w:val="13"/>
        <w:numPr>
          <w:ilvl w:val="0"/>
          <w:numId w:val="7"/>
        </w:numPr>
      </w:pPr>
      <w:r>
        <w:rPr>
          <w:rFonts w:ascii="Times New Roman" w:hAnsi="Times New Roman" w:eastAsia="微软雅黑"/>
          <w:sz w:val="24"/>
        </w:rPr>
        <w:t>样式要求：背景白色，节点用圆角矩形，顶层节点用深蓝色，第二层用中蓝色，第三层用浅蓝色，连接线用灰色。鼠标悬停在节点上时显示该指标的计算说明。</w:t>
      </w:r>
    </w:p>
    <w:p w14:paraId="60C100A6">
      <w:pPr>
        <w:pStyle w:val="13"/>
        <w:numPr>
          <w:ilvl w:val="0"/>
          <w:numId w:val="7"/>
        </w:numPr>
      </w:pPr>
      <w:r>
        <w:rPr>
          <w:rFonts w:ascii="Times New Roman" w:hAnsi="Times New Roman" w:eastAsia="微软雅黑"/>
          <w:sz w:val="24"/>
        </w:rPr>
        <w:t>整个图居中显示，标题为’A公司杜邦分析（2024年）’</w:t>
      </w:r>
    </w:p>
    <w:p w14:paraId="7B45AF3F">
      <w:pPr>
        <w:pStyle w:val="13"/>
        <w:numPr>
          <w:ilvl w:val="0"/>
          <w:numId w:val="7"/>
        </w:numPr>
      </w:pPr>
      <w:r>
        <w:rPr>
          <w:rFonts w:ascii="Times New Roman" w:hAnsi="Times New Roman" w:eastAsia="微软雅黑"/>
          <w:sz w:val="24"/>
        </w:rPr>
        <w:t>使用纯HTML+CSS+JavaScript实现，不依赖任何外部库。”</w:t>
      </w:r>
    </w:p>
    <w:bookmarkEnd w:id="69"/>
    <w:p w14:paraId="14337DB6">
      <w:pPr>
        <w:pStyle w:val="5"/>
      </w:pPr>
      <w:bookmarkStart w:id="70" w:name="运行和检验生成的html文件"/>
      <w:r>
        <w:rPr>
          <w:rFonts w:ascii="Times New Roman" w:hAnsi="Times New Roman" w:eastAsia="微软雅黑"/>
          <w:sz w:val="24"/>
        </w:rPr>
        <w:t>2. 运行和检验生成的HTML文件</w:t>
      </w:r>
    </w:p>
    <w:p w14:paraId="3821A043">
      <w:pPr>
        <w:pStyle w:val="23"/>
      </w:pPr>
      <w:r>
        <w:rPr>
          <w:rFonts w:ascii="Times New Roman" w:hAnsi="Times New Roman" w:eastAsia="微软雅黑"/>
          <w:sz w:val="24"/>
        </w:rPr>
        <w:t>AI会生成一段HTML代码。将代码复制后，保存为扩展名为</w:t>
      </w:r>
      <w:r>
        <w:rPr>
          <w:rStyle w:val="36"/>
          <w:rFonts w:ascii="Times New Roman" w:hAnsi="Times New Roman" w:eastAsia="微软雅黑"/>
          <w:sz w:val="24"/>
        </w:rPr>
        <w:t>.html</w:t>
      </w:r>
      <w:r>
        <w:rPr>
          <w:rFonts w:ascii="Times New Roman" w:hAnsi="Times New Roman" w:eastAsia="微软雅黑"/>
          <w:sz w:val="24"/>
        </w:rPr>
        <w:t>的文本文件，用浏览器打开即可查看效果。</w:t>
      </w:r>
    </w:p>
    <w:p w14:paraId="6A6C411A">
      <w:pPr>
        <w:pStyle w:val="3"/>
      </w:pPr>
      <w:r>
        <w:rPr>
          <w:rFonts w:ascii="Times New Roman" w:hAnsi="Times New Roman" w:eastAsia="微软雅黑"/>
          <w:sz w:val="24"/>
        </w:rPr>
        <w:t>检验步骤：</w:t>
      </w:r>
    </w:p>
    <w:p w14:paraId="3666BF45">
      <w:pPr>
        <w:pStyle w:val="3"/>
      </w:pPr>
      <w:r>
        <w:rPr>
          <w:rFonts w:ascii="Times New Roman" w:hAnsi="Times New Roman" w:eastAsia="微软雅黑"/>
          <w:b/>
          <w:bCs/>
          <w:sz w:val="24"/>
        </w:rPr>
        <w:t>第一步</w:t>
      </w:r>
      <w:r>
        <w:rPr>
          <w:rFonts w:ascii="Times New Roman" w:hAnsi="Times New Roman" w:eastAsia="微软雅黑"/>
          <w:sz w:val="24"/>
        </w:rPr>
        <w:t>：确认树状结构层次是否正确，ROE在顶层，三个因素在第二层，会计数据在第三层。</w:t>
      </w:r>
    </w:p>
    <w:p w14:paraId="75CB5E95">
      <w:pPr>
        <w:pStyle w:val="3"/>
      </w:pPr>
      <w:r>
        <w:rPr>
          <w:rFonts w:ascii="Times New Roman" w:hAnsi="Times New Roman" w:eastAsia="微软雅黑"/>
          <w:b/>
          <w:bCs/>
          <w:sz w:val="24"/>
        </w:rPr>
        <w:t>第二步</w:t>
      </w:r>
      <w:r>
        <w:rPr>
          <w:rFonts w:ascii="Times New Roman" w:hAnsi="Times New Roman" w:eastAsia="微软雅黑"/>
          <w:sz w:val="24"/>
        </w:rPr>
        <w:t>：核对每个节点中显示的数值是否和原始数据一致。</w:t>
      </w:r>
    </w:p>
    <w:p w14:paraId="2EC3F461">
      <w:pPr>
        <w:pStyle w:val="3"/>
      </w:pPr>
      <w:r>
        <w:rPr>
          <w:rFonts w:ascii="Times New Roman" w:hAnsi="Times New Roman" w:eastAsia="微软雅黑"/>
          <w:b/>
          <w:bCs/>
          <w:sz w:val="24"/>
        </w:rPr>
        <w:t>第三步</w:t>
      </w:r>
      <w:r>
        <w:rPr>
          <w:rFonts w:ascii="Times New Roman" w:hAnsi="Times New Roman" w:eastAsia="微软雅黑"/>
          <w:sz w:val="24"/>
        </w:rPr>
        <w:t>：测试鼠标悬停功能是否生效。</w:t>
      </w:r>
    </w:p>
    <w:p w14:paraId="654B47BD">
      <w:pPr>
        <w:pStyle w:val="3"/>
      </w:pPr>
      <w:r>
        <w:rPr>
          <w:rFonts w:ascii="Times New Roman" w:hAnsi="Times New Roman" w:eastAsia="微软雅黑"/>
          <w:b/>
          <w:bCs/>
          <w:sz w:val="24"/>
        </w:rPr>
        <w:t>第四步</w:t>
      </w:r>
      <w:r>
        <w:rPr>
          <w:rFonts w:ascii="Times New Roman" w:hAnsi="Times New Roman" w:eastAsia="微软雅黑"/>
          <w:sz w:val="24"/>
        </w:rPr>
        <w:t>：检查样式是否符合预期——如果颜色、字体或布局与描述不符，把具体的问题发给AI，要求修改。</w:t>
      </w:r>
    </w:p>
    <w:bookmarkEnd w:id="70"/>
    <w:p w14:paraId="185AF3D3">
      <w:pPr>
        <w:pStyle w:val="5"/>
      </w:pPr>
      <w:bookmarkStart w:id="71" w:name="迭代优化的方法"/>
      <w:r>
        <w:rPr>
          <w:rFonts w:ascii="Times New Roman" w:hAnsi="Times New Roman" w:eastAsia="微软雅黑"/>
          <w:sz w:val="24"/>
        </w:rPr>
        <w:t>3. 迭代优化的方法</w:t>
      </w:r>
    </w:p>
    <w:p w14:paraId="45892494">
      <w:pPr>
        <w:pStyle w:val="23"/>
      </w:pPr>
      <w:r>
        <w:rPr>
          <w:rFonts w:ascii="Times New Roman" w:hAnsi="Times New Roman" w:eastAsia="微软雅黑"/>
          <w:sz w:val="24"/>
        </w:rPr>
        <w:t>第一次生成的HTML不太可能完全满足要求。把发现的问题告诉AI，让它修改代码。优化时要具体描述问题，例如：</w:t>
      </w:r>
    </w:p>
    <w:p w14:paraId="2C6C6585">
      <w:pPr>
        <w:pStyle w:val="13"/>
      </w:pPr>
      <w:r>
        <w:rPr>
          <w:rFonts w:ascii="Times New Roman" w:hAnsi="Times New Roman" w:eastAsia="微软雅黑"/>
          <w:sz w:val="24"/>
        </w:rPr>
        <w:t>“生成的图中，第三层节点文字太小，看不清楚。请把第三层节点的字体大小改为14px，节点宽度改为180px。”</w:t>
      </w:r>
    </w:p>
    <w:p w14:paraId="56028935">
      <w:pPr>
        <w:pStyle w:val="23"/>
      </w:pPr>
      <w:r>
        <w:rPr>
          <w:rFonts w:ascii="Times New Roman" w:hAnsi="Times New Roman" w:eastAsia="微软雅黑"/>
          <w:sz w:val="24"/>
        </w:rPr>
        <w:t>通常经过2—3轮调整，就能得到一个基本满足要求的展示页面。如果需要在实际报告中使用，可以对这个HTML文件做进一步的打磨，或者截图后插入到PPT或Word文档中。</w:t>
      </w:r>
    </w:p>
    <w:p w14:paraId="1F6D6E30">
      <w:r>
        <w:pict>
          <v:rect id="_x0000_i1056" o:spt="1" style="height:1.5pt;width:0pt;" coordsize="21600,21600" o:hr="t" o:hrstd="t" o:hralign="center">
            <v:path/>
            <v:fill focussize="0,0"/>
            <v:stroke/>
            <v:imagedata o:title=""/>
            <o:lock v:ext="edit"/>
            <w10:wrap type="none"/>
            <w10:anchorlock/>
          </v:rect>
        </w:pict>
      </w:r>
    </w:p>
    <w:bookmarkEnd w:id="67"/>
    <w:bookmarkEnd w:id="68"/>
    <w:bookmarkEnd w:id="71"/>
    <w:p w14:paraId="130AF3DB">
      <w:pPr>
        <w:pStyle w:val="4"/>
      </w:pPr>
      <w:bookmarkStart w:id="72" w:name="综合测评"/>
      <w:r>
        <w:rPr>
          <w:rFonts w:ascii="Times New Roman" w:hAnsi="Times New Roman" w:eastAsia="微软雅黑"/>
          <w:sz w:val="24"/>
        </w:rPr>
        <w:t>【综合测评】</w:t>
      </w:r>
    </w:p>
    <w:p w14:paraId="2C087355">
      <w:pPr>
        <w:pStyle w:val="5"/>
      </w:pPr>
      <w:bookmarkStart w:id="73" w:name="一能力测评"/>
      <w:r>
        <w:rPr>
          <w:rFonts w:ascii="Times New Roman" w:hAnsi="Times New Roman" w:eastAsia="微软雅黑"/>
          <w:sz w:val="24"/>
        </w:rPr>
        <w:t>一、能力测评</w:t>
      </w:r>
    </w:p>
    <w:p w14:paraId="2D70B190">
      <w:pPr>
        <w:pStyle w:val="6"/>
      </w:pPr>
      <w:bookmarkStart w:id="74" w:name="一单项选择题"/>
      <w:r>
        <w:rPr>
          <w:rFonts w:ascii="Times New Roman" w:hAnsi="Times New Roman" w:eastAsia="微软雅黑"/>
          <w:sz w:val="24"/>
        </w:rPr>
        <w:t>（一）单项选择题</w:t>
      </w:r>
    </w:p>
    <w:p w14:paraId="76B15CE4">
      <w:pPr>
        <w:pStyle w:val="24"/>
        <w:numPr>
          <w:ilvl w:val="0"/>
          <w:numId w:val="8"/>
        </w:numPr>
      </w:pPr>
      <w:r>
        <w:rPr>
          <w:rFonts w:ascii="Times New Roman" w:hAnsi="Times New Roman" w:eastAsia="微软雅黑"/>
          <w:sz w:val="24"/>
        </w:rPr>
        <w:t>速动比率与流动比率的主要区别是（ ）</w:t>
      </w:r>
    </w:p>
    <w:p w14:paraId="542E692A">
      <w:pPr>
        <w:pStyle w:val="24"/>
        <w:numPr>
          <w:ilvl w:val="1"/>
          <w:numId w:val="1"/>
        </w:numPr>
      </w:pPr>
      <w:r>
        <w:rPr>
          <w:rFonts w:ascii="Times New Roman" w:hAnsi="Times New Roman" w:eastAsia="微软雅黑"/>
          <w:sz w:val="24"/>
        </w:rPr>
        <w:t>A. 速动比率用总资产替代流动资产</w:t>
      </w:r>
    </w:p>
    <w:p w14:paraId="0124A6BA">
      <w:pPr>
        <w:pStyle w:val="24"/>
        <w:numPr>
          <w:ilvl w:val="1"/>
          <w:numId w:val="1"/>
        </w:numPr>
      </w:pPr>
      <w:r>
        <w:rPr>
          <w:rFonts w:ascii="Times New Roman" w:hAnsi="Times New Roman" w:eastAsia="微软雅黑"/>
          <w:sz w:val="24"/>
        </w:rPr>
        <w:t>B. 速动比率在计算时扣除了存货，反映更保守的短期偿债能力</w:t>
      </w:r>
    </w:p>
    <w:p w14:paraId="5E569A30">
      <w:pPr>
        <w:pStyle w:val="24"/>
        <w:numPr>
          <w:ilvl w:val="1"/>
          <w:numId w:val="1"/>
        </w:numPr>
      </w:pPr>
      <w:r>
        <w:rPr>
          <w:rFonts w:ascii="Times New Roman" w:hAnsi="Times New Roman" w:eastAsia="微软雅黑"/>
          <w:sz w:val="24"/>
        </w:rPr>
        <w:t>C. 速动比率只计算货币资金</w:t>
      </w:r>
    </w:p>
    <w:p w14:paraId="534D685A">
      <w:pPr>
        <w:pStyle w:val="24"/>
        <w:numPr>
          <w:ilvl w:val="1"/>
          <w:numId w:val="1"/>
        </w:numPr>
      </w:pPr>
      <w:r>
        <w:rPr>
          <w:rFonts w:ascii="Times New Roman" w:hAnsi="Times New Roman" w:eastAsia="微软雅黑"/>
          <w:sz w:val="24"/>
        </w:rPr>
        <w:t>D. 速动比率和流动比率的计算方式完全相同</w:t>
      </w:r>
    </w:p>
    <w:p w14:paraId="42504430">
      <w:pPr>
        <w:pStyle w:val="24"/>
        <w:numPr>
          <w:ilvl w:val="0"/>
          <w:numId w:val="8"/>
        </w:numPr>
      </w:pPr>
      <w:r>
        <w:rPr>
          <w:rFonts w:ascii="Times New Roman" w:hAnsi="Times New Roman" w:eastAsia="微软雅黑"/>
          <w:sz w:val="24"/>
        </w:rPr>
        <w:t>某企业的利息保障倍数为0.8，这意味着（ ）</w:t>
      </w:r>
    </w:p>
    <w:p w14:paraId="65DA1A39">
      <w:pPr>
        <w:pStyle w:val="24"/>
        <w:numPr>
          <w:ilvl w:val="1"/>
          <w:numId w:val="1"/>
        </w:numPr>
      </w:pPr>
      <w:r>
        <w:rPr>
          <w:rFonts w:ascii="Times New Roman" w:hAnsi="Times New Roman" w:eastAsia="微软雅黑"/>
          <w:sz w:val="24"/>
        </w:rPr>
        <w:t>A. 企业的利润足够偿还利息，财务状况良好</w:t>
      </w:r>
    </w:p>
    <w:p w14:paraId="65D29E92">
      <w:pPr>
        <w:pStyle w:val="24"/>
        <w:numPr>
          <w:ilvl w:val="1"/>
          <w:numId w:val="1"/>
        </w:numPr>
      </w:pPr>
      <w:r>
        <w:rPr>
          <w:rFonts w:ascii="Times New Roman" w:hAnsi="Times New Roman" w:eastAsia="微软雅黑"/>
          <w:sz w:val="24"/>
        </w:rPr>
        <w:t>B. 企业当期的税前利润不足以覆盖利息支出，存在较高的偿债风险</w:t>
      </w:r>
    </w:p>
    <w:p w14:paraId="4EBAB074">
      <w:pPr>
        <w:pStyle w:val="24"/>
        <w:numPr>
          <w:ilvl w:val="1"/>
          <w:numId w:val="1"/>
        </w:numPr>
      </w:pPr>
      <w:r>
        <w:rPr>
          <w:rFonts w:ascii="Times New Roman" w:hAnsi="Times New Roman" w:eastAsia="微软雅黑"/>
          <w:sz w:val="24"/>
        </w:rPr>
        <w:t>C. 企业借款太少，没有充分利用财务杠杆</w:t>
      </w:r>
    </w:p>
    <w:p w14:paraId="12E3ED0A">
      <w:pPr>
        <w:pStyle w:val="24"/>
        <w:numPr>
          <w:ilvl w:val="1"/>
          <w:numId w:val="1"/>
        </w:numPr>
      </w:pPr>
      <w:r>
        <w:rPr>
          <w:rFonts w:ascii="Times New Roman" w:hAnsi="Times New Roman" w:eastAsia="微软雅黑"/>
          <w:sz w:val="24"/>
        </w:rPr>
        <w:t>D. 利息保障倍数低于1是行业正常情况</w:t>
      </w:r>
    </w:p>
    <w:p w14:paraId="56FFF452">
      <w:pPr>
        <w:pStyle w:val="24"/>
        <w:numPr>
          <w:ilvl w:val="0"/>
          <w:numId w:val="8"/>
        </w:numPr>
      </w:pPr>
      <w:r>
        <w:rPr>
          <w:rFonts w:ascii="Times New Roman" w:hAnsi="Times New Roman" w:eastAsia="微软雅黑"/>
          <w:sz w:val="24"/>
        </w:rPr>
        <w:t>计算存货周转率时，分子应该使用（ ）</w:t>
      </w:r>
    </w:p>
    <w:p w14:paraId="2D614F17">
      <w:pPr>
        <w:pStyle w:val="24"/>
        <w:numPr>
          <w:ilvl w:val="1"/>
          <w:numId w:val="1"/>
        </w:numPr>
      </w:pPr>
      <w:r>
        <w:rPr>
          <w:rFonts w:ascii="Times New Roman" w:hAnsi="Times New Roman" w:eastAsia="微软雅黑"/>
          <w:sz w:val="24"/>
        </w:rPr>
        <w:t>A. 营业收入</w:t>
      </w:r>
    </w:p>
    <w:p w14:paraId="45B0D852">
      <w:pPr>
        <w:pStyle w:val="24"/>
        <w:numPr>
          <w:ilvl w:val="1"/>
          <w:numId w:val="1"/>
        </w:numPr>
      </w:pPr>
      <w:r>
        <w:rPr>
          <w:rFonts w:ascii="Times New Roman" w:hAnsi="Times New Roman" w:eastAsia="微软雅黑"/>
          <w:sz w:val="24"/>
        </w:rPr>
        <w:t>B. 净利润</w:t>
      </w:r>
    </w:p>
    <w:p w14:paraId="5817890F">
      <w:pPr>
        <w:pStyle w:val="24"/>
        <w:numPr>
          <w:ilvl w:val="1"/>
          <w:numId w:val="1"/>
        </w:numPr>
      </w:pPr>
      <w:r>
        <w:rPr>
          <w:rFonts w:ascii="Times New Roman" w:hAnsi="Times New Roman" w:eastAsia="微软雅黑"/>
          <w:sz w:val="24"/>
        </w:rPr>
        <w:t>C. 营业成本</w:t>
      </w:r>
    </w:p>
    <w:p w14:paraId="3C7080F5">
      <w:pPr>
        <w:pStyle w:val="24"/>
        <w:numPr>
          <w:ilvl w:val="1"/>
          <w:numId w:val="1"/>
        </w:numPr>
      </w:pPr>
      <w:r>
        <w:rPr>
          <w:rFonts w:ascii="Times New Roman" w:hAnsi="Times New Roman" w:eastAsia="微软雅黑"/>
          <w:sz w:val="24"/>
        </w:rPr>
        <w:t>D. 毛利润</w:t>
      </w:r>
    </w:p>
    <w:p w14:paraId="21C3C483">
      <w:pPr>
        <w:pStyle w:val="24"/>
        <w:numPr>
          <w:ilvl w:val="0"/>
          <w:numId w:val="8"/>
        </w:numPr>
      </w:pPr>
      <w:r>
        <w:rPr>
          <w:rFonts w:ascii="Times New Roman" w:hAnsi="Times New Roman" w:eastAsia="微软雅黑"/>
          <w:sz w:val="24"/>
        </w:rPr>
        <w:t>一家企业ROE=18%，其中净利率5%，总资产周转率1.2，则权益乘数约为（ ）</w:t>
      </w:r>
    </w:p>
    <w:p w14:paraId="07987AB3">
      <w:pPr>
        <w:pStyle w:val="24"/>
        <w:numPr>
          <w:ilvl w:val="1"/>
          <w:numId w:val="1"/>
        </w:numPr>
      </w:pPr>
      <w:r>
        <w:rPr>
          <w:rFonts w:ascii="Times New Roman" w:hAnsi="Times New Roman" w:eastAsia="微软雅黑"/>
          <w:sz w:val="24"/>
        </w:rPr>
        <w:t>A. 2.0</w:t>
      </w:r>
    </w:p>
    <w:p w14:paraId="2BFC1D0A">
      <w:pPr>
        <w:pStyle w:val="24"/>
        <w:numPr>
          <w:ilvl w:val="1"/>
          <w:numId w:val="1"/>
        </w:numPr>
      </w:pPr>
      <w:r>
        <w:rPr>
          <w:rFonts w:ascii="Times New Roman" w:hAnsi="Times New Roman" w:eastAsia="微软雅黑"/>
          <w:sz w:val="24"/>
        </w:rPr>
        <w:t>B. 3.0</w:t>
      </w:r>
    </w:p>
    <w:p w14:paraId="1B7A7006">
      <w:pPr>
        <w:pStyle w:val="24"/>
        <w:numPr>
          <w:ilvl w:val="1"/>
          <w:numId w:val="1"/>
        </w:numPr>
      </w:pPr>
      <w:r>
        <w:rPr>
          <w:rFonts w:ascii="Times New Roman" w:hAnsi="Times New Roman" w:eastAsia="微软雅黑"/>
          <w:sz w:val="24"/>
        </w:rPr>
        <w:t>C. 1.5</w:t>
      </w:r>
    </w:p>
    <w:p w14:paraId="37123333">
      <w:pPr>
        <w:pStyle w:val="24"/>
        <w:numPr>
          <w:ilvl w:val="1"/>
          <w:numId w:val="1"/>
        </w:numPr>
      </w:pPr>
      <w:r>
        <w:rPr>
          <w:rFonts w:ascii="Times New Roman" w:hAnsi="Times New Roman" w:eastAsia="微软雅黑"/>
          <w:sz w:val="24"/>
        </w:rPr>
        <w:t>D. 4.0</w:t>
      </w:r>
    </w:p>
    <w:p w14:paraId="4ABDB43C">
      <w:pPr>
        <w:pStyle w:val="24"/>
        <w:numPr>
          <w:ilvl w:val="0"/>
          <w:numId w:val="8"/>
        </w:numPr>
      </w:pPr>
      <w:r>
        <w:rPr>
          <w:rFonts w:ascii="Times New Roman" w:hAnsi="Times New Roman" w:eastAsia="微软雅黑"/>
          <w:sz w:val="24"/>
        </w:rPr>
        <w:t>杜邦分析中，权益乘数提高意味着（ ）</w:t>
      </w:r>
    </w:p>
    <w:p w14:paraId="7B59A6F2">
      <w:pPr>
        <w:pStyle w:val="24"/>
        <w:numPr>
          <w:ilvl w:val="1"/>
          <w:numId w:val="1"/>
        </w:numPr>
      </w:pPr>
      <w:r>
        <w:rPr>
          <w:rFonts w:ascii="Times New Roman" w:hAnsi="Times New Roman" w:eastAsia="微软雅黑"/>
          <w:sz w:val="24"/>
        </w:rPr>
        <w:t>A. 企业的盈利能力增强</w:t>
      </w:r>
    </w:p>
    <w:p w14:paraId="3C7E59AB">
      <w:pPr>
        <w:pStyle w:val="24"/>
        <w:numPr>
          <w:ilvl w:val="1"/>
          <w:numId w:val="1"/>
        </w:numPr>
      </w:pPr>
      <w:r>
        <w:rPr>
          <w:rFonts w:ascii="Times New Roman" w:hAnsi="Times New Roman" w:eastAsia="微软雅黑"/>
          <w:sz w:val="24"/>
        </w:rPr>
        <w:t>B. 企业的资产周转效率提升</w:t>
      </w:r>
    </w:p>
    <w:p w14:paraId="05829529">
      <w:pPr>
        <w:pStyle w:val="24"/>
        <w:numPr>
          <w:ilvl w:val="1"/>
          <w:numId w:val="1"/>
        </w:numPr>
      </w:pPr>
      <w:r>
        <w:rPr>
          <w:rFonts w:ascii="Times New Roman" w:hAnsi="Times New Roman" w:eastAsia="微软雅黑"/>
          <w:sz w:val="24"/>
        </w:rPr>
        <w:t>C. 企业使用了更多负债，财务杠杆增加</w:t>
      </w:r>
    </w:p>
    <w:p w14:paraId="5686C27F">
      <w:pPr>
        <w:pStyle w:val="24"/>
        <w:numPr>
          <w:ilvl w:val="1"/>
          <w:numId w:val="1"/>
        </w:numPr>
      </w:pPr>
      <w:r>
        <w:rPr>
          <w:rFonts w:ascii="Times New Roman" w:hAnsi="Times New Roman" w:eastAsia="微软雅黑"/>
          <w:sz w:val="24"/>
        </w:rPr>
        <w:t>D. 企业的净利润增加</w:t>
      </w:r>
    </w:p>
    <w:p w14:paraId="5CA38E19">
      <w:pPr>
        <w:pStyle w:val="24"/>
        <w:numPr>
          <w:ilvl w:val="0"/>
          <w:numId w:val="8"/>
        </w:numPr>
      </w:pPr>
      <w:r>
        <w:rPr>
          <w:rFonts w:ascii="Times New Roman" w:hAnsi="Times New Roman" w:eastAsia="微软雅黑"/>
          <w:sz w:val="24"/>
        </w:rPr>
        <w:t>评估一家餐饮企业的应收账款周转天数为5天，以下解读正确的是（ ）</w:t>
      </w:r>
    </w:p>
    <w:p w14:paraId="6F97B2C2">
      <w:pPr>
        <w:pStyle w:val="24"/>
        <w:numPr>
          <w:ilvl w:val="1"/>
          <w:numId w:val="1"/>
        </w:numPr>
      </w:pPr>
      <w:r>
        <w:rPr>
          <w:rFonts w:ascii="Times New Roman" w:hAnsi="Times New Roman" w:eastAsia="微软雅黑"/>
          <w:sz w:val="24"/>
        </w:rPr>
        <w:t>A. 说明该企业的营运能力极差，应收账款几乎无法回收</w:t>
      </w:r>
    </w:p>
    <w:p w14:paraId="540F10DD">
      <w:pPr>
        <w:pStyle w:val="24"/>
        <w:numPr>
          <w:ilvl w:val="1"/>
          <w:numId w:val="1"/>
        </w:numPr>
      </w:pPr>
      <w:r>
        <w:rPr>
          <w:rFonts w:ascii="Times New Roman" w:hAnsi="Times New Roman" w:eastAsia="微软雅黑"/>
          <w:sz w:val="24"/>
        </w:rPr>
        <w:t>B. 这在餐饮行业属于正常现象，因为餐饮企业以现金结算为主</w:t>
      </w:r>
    </w:p>
    <w:p w14:paraId="3EAF41F0">
      <w:pPr>
        <w:pStyle w:val="24"/>
        <w:numPr>
          <w:ilvl w:val="1"/>
          <w:numId w:val="1"/>
        </w:numPr>
      </w:pPr>
      <w:r>
        <w:rPr>
          <w:rFonts w:ascii="Times New Roman" w:hAnsi="Times New Roman" w:eastAsia="微软雅黑"/>
          <w:sz w:val="24"/>
        </w:rPr>
        <w:t>C. 5天的周转天数说明该企业给了客户非常短的账期</w:t>
      </w:r>
    </w:p>
    <w:p w14:paraId="0104300F">
      <w:pPr>
        <w:pStyle w:val="24"/>
        <w:numPr>
          <w:ilvl w:val="1"/>
          <w:numId w:val="1"/>
        </w:numPr>
      </w:pPr>
      <w:r>
        <w:rPr>
          <w:rFonts w:ascii="Times New Roman" w:hAnsi="Times New Roman" w:eastAsia="微软雅黑"/>
          <w:sz w:val="24"/>
        </w:rPr>
        <w:t>D. 周转天数低于10天是所有行业的共同标准</w:t>
      </w:r>
    </w:p>
    <w:p w14:paraId="08283BEB">
      <w:pPr>
        <w:pStyle w:val="24"/>
        <w:numPr>
          <w:ilvl w:val="0"/>
          <w:numId w:val="8"/>
        </w:numPr>
      </w:pPr>
      <w:r>
        <w:rPr>
          <w:rFonts w:ascii="Times New Roman" w:hAnsi="Times New Roman" w:eastAsia="微软雅黑"/>
          <w:sz w:val="24"/>
        </w:rPr>
        <w:t>关于“财务指标综合评价智能体”中行业参照知识库的作用，以下说法正确的是（ ）</w:t>
      </w:r>
    </w:p>
    <w:p w14:paraId="1A6579FE">
      <w:pPr>
        <w:pStyle w:val="24"/>
        <w:numPr>
          <w:ilvl w:val="1"/>
          <w:numId w:val="1"/>
        </w:numPr>
      </w:pPr>
      <w:r>
        <w:rPr>
          <w:rFonts w:ascii="Times New Roman" w:hAnsi="Times New Roman" w:eastAsia="微软雅黑"/>
          <w:sz w:val="24"/>
        </w:rPr>
        <w:t>A. 知识库只是让智能体回答速度更快</w:t>
      </w:r>
    </w:p>
    <w:p w14:paraId="50F98B1B">
      <w:pPr>
        <w:pStyle w:val="24"/>
        <w:numPr>
          <w:ilvl w:val="1"/>
          <w:numId w:val="1"/>
        </w:numPr>
      </w:pPr>
      <w:r>
        <w:rPr>
          <w:rFonts w:ascii="Times New Roman" w:hAnsi="Times New Roman" w:eastAsia="微软雅黑"/>
          <w:sz w:val="24"/>
        </w:rPr>
        <w:t>B. 知识库提供行业参考数值，让智能体在判断指标高低时有具体依据，而非靠通用知识泛泛作答</w:t>
      </w:r>
    </w:p>
    <w:p w14:paraId="2576FD2A">
      <w:pPr>
        <w:pStyle w:val="24"/>
        <w:numPr>
          <w:ilvl w:val="1"/>
          <w:numId w:val="1"/>
        </w:numPr>
      </w:pPr>
      <w:r>
        <w:rPr>
          <w:rFonts w:ascii="Times New Roman" w:hAnsi="Times New Roman" w:eastAsia="微软雅黑"/>
          <w:sz w:val="24"/>
        </w:rPr>
        <w:t>C. 没有知识库的智能体完全无法进行比率分析</w:t>
      </w:r>
    </w:p>
    <w:p w14:paraId="33989661">
      <w:pPr>
        <w:pStyle w:val="24"/>
        <w:numPr>
          <w:ilvl w:val="1"/>
          <w:numId w:val="1"/>
        </w:numPr>
      </w:pPr>
      <w:r>
        <w:rPr>
          <w:rFonts w:ascii="Times New Roman" w:hAnsi="Times New Roman" w:eastAsia="微软雅黑"/>
          <w:sz w:val="24"/>
        </w:rPr>
        <w:t>D. 行业参照知识库一旦建立就永远不需要更新</w:t>
      </w:r>
    </w:p>
    <w:p w14:paraId="4552299B">
      <w:pPr>
        <w:pStyle w:val="24"/>
        <w:numPr>
          <w:ilvl w:val="0"/>
          <w:numId w:val="8"/>
        </w:numPr>
      </w:pPr>
      <w:r>
        <w:rPr>
          <w:rFonts w:ascii="Times New Roman" w:hAnsi="Times New Roman" w:eastAsia="微软雅黑"/>
          <w:sz w:val="24"/>
        </w:rPr>
        <w:t>一家企业毛利率35%，净利率3%，以下判断最合理的是（ ）</w:t>
      </w:r>
    </w:p>
    <w:p w14:paraId="08DB8188">
      <w:pPr>
        <w:pStyle w:val="24"/>
        <w:numPr>
          <w:ilvl w:val="1"/>
          <w:numId w:val="1"/>
        </w:numPr>
      </w:pPr>
      <w:r>
        <w:rPr>
          <w:rFonts w:ascii="Times New Roman" w:hAnsi="Times New Roman" w:eastAsia="微软雅黑"/>
          <w:sz w:val="24"/>
        </w:rPr>
        <w:t>A. 企业盈利能力正常，毛利和净利差距在行业范围内</w:t>
      </w:r>
    </w:p>
    <w:p w14:paraId="5DEFB1CB">
      <w:pPr>
        <w:pStyle w:val="24"/>
        <w:numPr>
          <w:ilvl w:val="1"/>
          <w:numId w:val="1"/>
        </w:numPr>
      </w:pPr>
      <w:r>
        <w:rPr>
          <w:rFonts w:ascii="Times New Roman" w:hAnsi="Times New Roman" w:eastAsia="微软雅黑"/>
          <w:sz w:val="24"/>
        </w:rPr>
        <w:t>B. 期间费用（管理、销售、财务费用）占收入比例可能偏高，导致大量毛利被消耗</w:t>
      </w:r>
    </w:p>
    <w:p w14:paraId="29CA1337">
      <w:pPr>
        <w:pStyle w:val="24"/>
        <w:numPr>
          <w:ilvl w:val="1"/>
          <w:numId w:val="1"/>
        </w:numPr>
      </w:pPr>
      <w:r>
        <w:rPr>
          <w:rFonts w:ascii="Times New Roman" w:hAnsi="Times New Roman" w:eastAsia="微软雅黑"/>
          <w:sz w:val="24"/>
        </w:rPr>
        <w:t>C. 净利率3%说明企业亏损</w:t>
      </w:r>
    </w:p>
    <w:p w14:paraId="534B6844">
      <w:pPr>
        <w:pStyle w:val="24"/>
        <w:numPr>
          <w:ilvl w:val="1"/>
          <w:numId w:val="1"/>
        </w:numPr>
      </w:pPr>
      <w:r>
        <w:rPr>
          <w:rFonts w:ascii="Times New Roman" w:hAnsi="Times New Roman" w:eastAsia="微软雅黑"/>
          <w:sz w:val="24"/>
        </w:rPr>
        <w:t>D. 毛利率35%说明产品定价过高</w:t>
      </w:r>
    </w:p>
    <w:bookmarkEnd w:id="74"/>
    <w:p w14:paraId="3A8028A5">
      <w:pPr>
        <w:pStyle w:val="6"/>
      </w:pPr>
      <w:bookmarkStart w:id="75" w:name="二判断题"/>
      <w:r>
        <w:rPr>
          <w:rFonts w:ascii="Times New Roman" w:hAnsi="Times New Roman" w:eastAsia="微软雅黑"/>
          <w:sz w:val="24"/>
        </w:rPr>
        <w:t>（二）判断题</w:t>
      </w:r>
    </w:p>
    <w:p w14:paraId="2446682C">
      <w:pPr>
        <w:numPr>
          <w:ilvl w:val="0"/>
          <w:numId w:val="9"/>
        </w:numPr>
      </w:pPr>
      <w:r>
        <w:rPr>
          <w:rFonts w:ascii="Times New Roman" w:hAnsi="Times New Roman" w:eastAsia="微软雅黑"/>
          <w:sz w:val="24"/>
        </w:rPr>
        <w:t>流动比率越高，企业的短期偿债能力一定越强，财务越健康。（ ）</w:t>
      </w:r>
    </w:p>
    <w:p w14:paraId="58DD3456">
      <w:pPr>
        <w:numPr>
          <w:ilvl w:val="0"/>
          <w:numId w:val="9"/>
        </w:numPr>
      </w:pPr>
      <w:r>
        <w:rPr>
          <w:rFonts w:ascii="Times New Roman" w:hAnsi="Times New Roman" w:eastAsia="微软雅黑"/>
          <w:sz w:val="24"/>
        </w:rPr>
        <w:t>ROE高于同行的企业，其实际经营效率一定高于同行。（ ）</w:t>
      </w:r>
    </w:p>
    <w:p w14:paraId="60D33985">
      <w:pPr>
        <w:numPr>
          <w:ilvl w:val="0"/>
          <w:numId w:val="9"/>
        </w:numPr>
      </w:pPr>
      <w:r>
        <w:rPr>
          <w:rFonts w:ascii="Times New Roman" w:hAnsi="Times New Roman" w:eastAsia="微软雅黑"/>
          <w:sz w:val="24"/>
        </w:rPr>
        <w:t>在杜邦分析中，ROE的提升如果主要来自权益乘数的提高，则这种提升伴随着更高的财务风险。（ ）</w:t>
      </w:r>
    </w:p>
    <w:p w14:paraId="422E8FE6">
      <w:pPr>
        <w:numPr>
          <w:ilvl w:val="0"/>
          <w:numId w:val="9"/>
        </w:numPr>
      </w:pPr>
      <w:r>
        <w:rPr>
          <w:rFonts w:ascii="Times New Roman" w:hAnsi="Times New Roman" w:eastAsia="微软雅黑"/>
          <w:sz w:val="24"/>
        </w:rPr>
        <w:t>行业参照范围内的财务比率，说明企业不存在任何问题，可以不需要进一步分析。（ ）</w:t>
      </w:r>
    </w:p>
    <w:p w14:paraId="4CB654C3">
      <w:pPr>
        <w:numPr>
          <w:ilvl w:val="0"/>
          <w:numId w:val="9"/>
        </w:numPr>
      </w:pPr>
      <w:r>
        <w:rPr>
          <w:rFonts w:ascii="Times New Roman" w:hAnsi="Times New Roman" w:eastAsia="微软雅黑"/>
          <w:sz w:val="24"/>
        </w:rPr>
        <w:t>总资产周转率越高，说明企业资产的利用效率越好，通常是正面信号。（ ）</w:t>
      </w:r>
    </w:p>
    <w:p w14:paraId="03106693">
      <w:pPr>
        <w:numPr>
          <w:ilvl w:val="0"/>
          <w:numId w:val="9"/>
        </w:numPr>
      </w:pPr>
      <w:r>
        <w:rPr>
          <w:rFonts w:ascii="Times New Roman" w:hAnsi="Times New Roman" w:eastAsia="微软雅黑"/>
          <w:sz w:val="24"/>
        </w:rPr>
        <w:t>在向智能体提供财务数据时，如果某些数据缺失，智能体应该用行业均值代替缺失数据进行计算。（ ）</w:t>
      </w:r>
    </w:p>
    <w:bookmarkEnd w:id="75"/>
    <w:p w14:paraId="37BE7ABA">
      <w:pPr>
        <w:pStyle w:val="6"/>
      </w:pPr>
      <w:bookmarkStart w:id="76" w:name="三简答题"/>
      <w:r>
        <w:rPr>
          <w:rFonts w:ascii="Times New Roman" w:hAnsi="Times New Roman" w:eastAsia="微软雅黑"/>
          <w:sz w:val="24"/>
        </w:rPr>
        <w:t>（三）简答题</w:t>
      </w:r>
    </w:p>
    <w:p w14:paraId="25723712">
      <w:pPr>
        <w:numPr>
          <w:ilvl w:val="0"/>
          <w:numId w:val="10"/>
        </w:numPr>
      </w:pPr>
      <w:r>
        <w:rPr>
          <w:rFonts w:ascii="Times New Roman" w:hAnsi="Times New Roman" w:eastAsia="微软雅黑"/>
          <w:sz w:val="24"/>
        </w:rPr>
        <w:t>请解释流动比率、速动比率和现金比率三个指标之间的递进关系，并说明在什么分析场景下应该重点看哪个指标。</w:t>
      </w:r>
    </w:p>
    <w:p w14:paraId="432F6A22">
      <w:pPr>
        <w:numPr>
          <w:ilvl w:val="0"/>
          <w:numId w:val="10"/>
        </w:numPr>
      </w:pPr>
      <w:r>
        <w:rPr>
          <w:rFonts w:ascii="Times New Roman" w:hAnsi="Times New Roman" w:eastAsia="微软雅黑"/>
          <w:sz w:val="24"/>
        </w:rPr>
        <w:t>杜邦分析把ROE拆解成三个因素。请举例说明，一家零售企业和一家科技公司，各自通常依赖哪个因素来支撑其ROE，背后的商业逻辑是什么。</w:t>
      </w:r>
    </w:p>
    <w:p w14:paraId="7C0D2A13">
      <w:pPr>
        <w:numPr>
          <w:ilvl w:val="0"/>
          <w:numId w:val="10"/>
        </w:numPr>
      </w:pPr>
      <w:r>
        <w:rPr>
          <w:rFonts w:ascii="Times New Roman" w:hAnsi="Times New Roman" w:eastAsia="微软雅黑"/>
          <w:sz w:val="24"/>
        </w:rPr>
        <w:t>在搭建“财务指标综合评价智能体”时，系统提示词中的“分析流程”部分为什么要明确要求“先从知识库中查找行业参考范围”，而不是直接让AI按自己的知识来判断？</w:t>
      </w:r>
    </w:p>
    <w:p w14:paraId="299F768A">
      <w:pPr>
        <w:numPr>
          <w:ilvl w:val="0"/>
          <w:numId w:val="10"/>
        </w:numPr>
      </w:pPr>
      <w:r>
        <w:rPr>
          <w:rFonts w:ascii="Times New Roman" w:hAnsi="Times New Roman" w:eastAsia="微软雅黑"/>
          <w:sz w:val="24"/>
        </w:rPr>
        <w:t>单期财务比率分析与多期趋势分析相比，各有什么优势和局限？如果只有一期数据，分析结论的可靠性会受到哪些影响？</w:t>
      </w:r>
    </w:p>
    <w:bookmarkEnd w:id="76"/>
    <w:p w14:paraId="412813F8">
      <w:pPr>
        <w:pStyle w:val="6"/>
      </w:pPr>
      <w:bookmarkStart w:id="77" w:name="四综合应用题"/>
      <w:r>
        <w:rPr>
          <w:rFonts w:ascii="Times New Roman" w:hAnsi="Times New Roman" w:eastAsia="微软雅黑"/>
          <w:sz w:val="24"/>
        </w:rPr>
        <w:t>（四）综合应用题</w:t>
      </w:r>
    </w:p>
    <w:p w14:paraId="03A3584D">
      <w:pPr>
        <w:pStyle w:val="23"/>
      </w:pPr>
      <w:r>
        <w:rPr>
          <w:rFonts w:ascii="Times New Roman" w:hAnsi="Times New Roman" w:eastAsia="微软雅黑"/>
          <w:b/>
          <w:bCs/>
          <w:sz w:val="24"/>
        </w:rPr>
        <w:t>场景描述</w:t>
      </w:r>
      <w:r>
        <w:rPr>
          <w:rFonts w:ascii="Times New Roman" w:hAnsi="Times New Roman" w:eastAsia="微软雅黑"/>
          <w:sz w:val="24"/>
        </w:rPr>
        <w:t>：</w:t>
      </w:r>
    </w:p>
    <w:p w14:paraId="5A18811D">
      <w:pPr>
        <w:pStyle w:val="3"/>
      </w:pPr>
      <w:r>
        <w:rPr>
          <w:rFonts w:ascii="Times New Roman" w:hAnsi="Times New Roman" w:eastAsia="微软雅黑"/>
          <w:sz w:val="24"/>
        </w:rPr>
        <w:t>你是一家供应链金融公司的信贷分析师，正在评估向两家医疗器械企业提供1000万元、期限两年的贷款。两家企业均提供了最新年度财务数据（单位：万元）：</w:t>
      </w:r>
    </w:p>
    <w:p w14:paraId="5256F99D">
      <w:pPr>
        <w:pStyle w:val="3"/>
      </w:pPr>
      <w:r>
        <w:rPr>
          <w:rFonts w:ascii="Times New Roman" w:hAnsi="Times New Roman" w:eastAsia="微软雅黑"/>
          <w:b/>
          <w:bCs/>
          <w:sz w:val="24"/>
        </w:rPr>
        <w:t>甲公司</w:t>
      </w:r>
      <w:r>
        <w:rPr>
          <w:rFonts w:ascii="Times New Roman" w:hAnsi="Times New Roman" w:eastAsia="微软雅黑"/>
          <w:sz w:val="24"/>
        </w:rPr>
        <w:t>：流动资产1860，其中存货420，货币资金380；流动负债1050；总资产4800；净资产2200；营业收入5600；营业成本3640；净利润352；期初应收账款820，期末应收账款860；期初存货410，期末存货420；利息费用48</w:t>
      </w:r>
    </w:p>
    <w:p w14:paraId="354C54E6">
      <w:pPr>
        <w:pStyle w:val="3"/>
      </w:pPr>
      <w:r>
        <w:rPr>
          <w:rFonts w:ascii="Times New Roman" w:hAnsi="Times New Roman" w:eastAsia="微软雅黑"/>
          <w:b/>
          <w:bCs/>
          <w:sz w:val="24"/>
        </w:rPr>
        <w:t>乙公司</w:t>
      </w:r>
      <w:r>
        <w:rPr>
          <w:rFonts w:ascii="Times New Roman" w:hAnsi="Times New Roman" w:eastAsia="微软雅黑"/>
          <w:sz w:val="24"/>
        </w:rPr>
        <w:t>：流动资产1240，其中存货180，货币资金210；流动负债680；总资产3200；净资产1350；营业收入4200；营业成本2730；净利润315；期初应收账款650，期末应收账款720；期初存货175，期末存货180；利息费用86</w:t>
      </w:r>
    </w:p>
    <w:p w14:paraId="185E95E8">
      <w:pPr>
        <w:pStyle w:val="3"/>
      </w:pPr>
      <w:r>
        <w:rPr>
          <w:rFonts w:ascii="Times New Roman" w:hAnsi="Times New Roman" w:eastAsia="微软雅黑"/>
          <w:b/>
          <w:bCs/>
          <w:sz w:val="24"/>
        </w:rPr>
        <w:t>请完成以下任务</w:t>
      </w:r>
      <w:r>
        <w:rPr>
          <w:rFonts w:ascii="Times New Roman" w:hAnsi="Times New Roman" w:eastAsia="微软雅黑"/>
          <w:sz w:val="24"/>
        </w:rPr>
        <w:t>：</w:t>
      </w:r>
    </w:p>
    <w:p w14:paraId="5E86A00F">
      <w:pPr>
        <w:numPr>
          <w:ilvl w:val="0"/>
          <w:numId w:val="11"/>
        </w:numPr>
      </w:pPr>
      <w:r>
        <w:rPr>
          <w:rFonts w:ascii="Times New Roman" w:hAnsi="Times New Roman" w:eastAsia="微软雅黑"/>
          <w:sz w:val="24"/>
        </w:rPr>
        <w:t>分别计算两家公司的流动比率、速动比率、资产负债率和利息保障倍数，并对每个指标给出简要评价。</w:t>
      </w:r>
    </w:p>
    <w:p w14:paraId="425A06CB">
      <w:pPr>
        <w:numPr>
          <w:ilvl w:val="0"/>
          <w:numId w:val="11"/>
        </w:numPr>
      </w:pPr>
      <w:r>
        <w:rPr>
          <w:rFonts w:ascii="Times New Roman" w:hAnsi="Times New Roman" w:eastAsia="微软雅黑"/>
          <w:sz w:val="24"/>
        </w:rPr>
        <w:t>分别计算两家公司的应收账款周转天数、存货周转天数和总资产周转率，并对比分析两家公司的营运效率。</w:t>
      </w:r>
    </w:p>
    <w:p w14:paraId="3C08D77F">
      <w:pPr>
        <w:numPr>
          <w:ilvl w:val="0"/>
          <w:numId w:val="11"/>
        </w:numPr>
      </w:pPr>
      <w:r>
        <w:rPr>
          <w:rFonts w:ascii="Times New Roman" w:hAnsi="Times New Roman" w:eastAsia="微软雅黑"/>
          <w:sz w:val="24"/>
        </w:rPr>
        <w:t>分别计算两家公司的净利率、ROA和ROE，并进行杜邦分析（拆解为净利率×总资产周转率×权益乘数）。</w:t>
      </w:r>
    </w:p>
    <w:p w14:paraId="1CE74945">
      <w:pPr>
        <w:numPr>
          <w:ilvl w:val="0"/>
          <w:numId w:val="11"/>
        </w:numPr>
      </w:pPr>
      <w:r>
        <w:rPr>
          <w:rFonts w:ascii="Times New Roman" w:hAnsi="Times New Roman" w:eastAsia="微软雅黑"/>
          <w:sz w:val="24"/>
        </w:rPr>
        <w:t>综合以上分析，从信贷风险控制的角度，写一段约200字的综合评估意见，说明你更倾向于向哪家企业放贷，以及你的主要判断依据。</w:t>
      </w:r>
    </w:p>
    <w:p w14:paraId="217A9B13">
      <w:pPr>
        <w:numPr>
          <w:ilvl w:val="0"/>
          <w:numId w:val="11"/>
        </w:numPr>
      </w:pPr>
      <w:r>
        <w:rPr>
          <w:rFonts w:ascii="Times New Roman" w:hAnsi="Times New Roman" w:eastAsia="微软雅黑"/>
          <w:sz w:val="24"/>
        </w:rPr>
        <w:t>如果要把这次分析的流程做成一个可复用的智能体，针对医疗器械行业的特点，你会在知识库中准备哪些有别于其他行业的特殊参考数据？请列出至少3条。</w:t>
      </w:r>
    </w:p>
    <w:p w14:paraId="270C9B57">
      <w:r>
        <w:pict>
          <v:rect id="_x0000_i1057" o:spt="1" style="height:1.5pt;width:0pt;" coordsize="21600,21600" o:hr="t" o:hrstd="t" o:hralign="center">
            <v:path/>
            <v:fill focussize="0,0"/>
            <v:stroke/>
            <v:imagedata o:title=""/>
            <o:lock v:ext="edit"/>
            <w10:wrap type="none"/>
            <w10:anchorlock/>
          </v:rect>
        </w:pict>
      </w:r>
    </w:p>
    <w:bookmarkEnd w:id="73"/>
    <w:bookmarkEnd w:id="77"/>
    <w:p w14:paraId="760D45AD">
      <w:pPr>
        <w:pStyle w:val="5"/>
      </w:pPr>
      <w:bookmarkStart w:id="78" w:name="二素质测评"/>
      <w:r>
        <w:rPr>
          <w:rFonts w:ascii="Times New Roman" w:hAnsi="Times New Roman" w:eastAsia="微软雅黑"/>
          <w:sz w:val="24"/>
        </w:rPr>
        <w:t>二、素质测评</w:t>
      </w:r>
    </w:p>
    <w:p w14:paraId="734FC2D8">
      <w:pPr>
        <w:pStyle w:val="23"/>
      </w:pPr>
      <w:r>
        <w:rPr>
          <w:rFonts w:ascii="Times New Roman" w:hAnsi="Times New Roman" w:eastAsia="微软雅黑"/>
          <w:sz w:val="24"/>
        </w:rPr>
        <w:t>请对以下观点进行判断并简要说明理由。</w:t>
      </w:r>
    </w:p>
    <w:p w14:paraId="5BE2A383">
      <w:pPr>
        <w:numPr>
          <w:ilvl w:val="0"/>
          <w:numId w:val="12"/>
        </w:numPr>
      </w:pPr>
      <w:r>
        <w:rPr>
          <w:rFonts w:ascii="Times New Roman" w:hAnsi="Times New Roman" w:eastAsia="微软雅黑"/>
          <w:sz w:val="24"/>
        </w:rPr>
        <w:t>“这家公司利润增长了20%，说明财务状况很好，其他指标可以不用看了。”</w:t>
      </w:r>
    </w:p>
    <w:p w14:paraId="72A32E01">
      <w:pPr>
        <w:numPr>
          <w:ilvl w:val="0"/>
          <w:numId w:val="12"/>
        </w:numPr>
      </w:pPr>
      <w:r>
        <w:rPr>
          <w:rFonts w:ascii="Times New Roman" w:hAnsi="Times New Roman" w:eastAsia="微软雅黑"/>
          <w:sz w:val="24"/>
        </w:rPr>
        <w:t>“行业参照范围是权威数据，只要指标在范围内就不需要进一步分析，节省时间。”</w:t>
      </w:r>
    </w:p>
    <w:p w14:paraId="6AF462A3">
      <w:pPr>
        <w:numPr>
          <w:ilvl w:val="0"/>
          <w:numId w:val="12"/>
        </w:numPr>
      </w:pPr>
      <w:r>
        <w:rPr>
          <w:rFonts w:ascii="Times New Roman" w:hAnsi="Times New Roman" w:eastAsia="微软雅黑"/>
          <w:sz w:val="24"/>
        </w:rPr>
        <w:t>“杜邦分析只是把一个数字变成了三个数字，没有增加什么新信息，不如直接看ROE。”</w:t>
      </w:r>
    </w:p>
    <w:p w14:paraId="7AE3CEEC">
      <w:pPr>
        <w:numPr>
          <w:ilvl w:val="0"/>
          <w:numId w:val="12"/>
        </w:numPr>
      </w:pPr>
      <w:r>
        <w:rPr>
          <w:rFonts w:ascii="Times New Roman" w:hAnsi="Times New Roman" w:eastAsia="微软雅黑"/>
          <w:sz w:val="24"/>
        </w:rPr>
        <w:t>“综合评价智能体已经很强大了，信贷审查结论可以直接采用智能体的报告，不需要人工判断。”</w:t>
      </w:r>
    </w:p>
    <w:p w14:paraId="4C1E6C2F">
      <w:pPr>
        <w:numPr>
          <w:ilvl w:val="0"/>
          <w:numId w:val="12"/>
        </w:numPr>
      </w:pPr>
      <w:r>
        <w:rPr>
          <w:rFonts w:ascii="Times New Roman" w:hAnsi="Times New Roman" w:eastAsia="微软雅黑"/>
          <w:sz w:val="24"/>
        </w:rPr>
        <w:t>“财务比率分析是历史数据的分析，对预测未来没有用，学它的意义不大。”</w:t>
      </w:r>
    </w:p>
    <w:p w14:paraId="141F864A">
      <w:r>
        <w:pict>
          <v:rect id="_x0000_i1058" o:spt="1" style="height:1.5pt;width:0pt;" coordsize="21600,21600" o:hr="t" o:hrstd="t" o:hralign="center">
            <v:path/>
            <v:fill focussize="0,0"/>
            <v:stroke/>
            <v:imagedata o:title=""/>
            <o:lock v:ext="edit"/>
            <w10:wrap type="none"/>
            <w10:anchorlock/>
          </v:rect>
        </w:pict>
      </w:r>
    </w:p>
    <w:bookmarkEnd w:id="78"/>
    <w:p w14:paraId="57A17036">
      <w:pPr>
        <w:pStyle w:val="5"/>
      </w:pPr>
      <w:bookmarkStart w:id="79" w:name="三参考答案要点"/>
      <w:r>
        <w:rPr>
          <w:rFonts w:ascii="Times New Roman" w:hAnsi="Times New Roman" w:eastAsia="微软雅黑"/>
          <w:sz w:val="24"/>
        </w:rPr>
        <w:t>三、参考答案（要点）</w:t>
      </w:r>
    </w:p>
    <w:p w14:paraId="59230D99">
      <w:pPr>
        <w:pStyle w:val="23"/>
      </w:pPr>
      <w:r>
        <w:rPr>
          <w:rFonts w:ascii="Times New Roman" w:hAnsi="Times New Roman" w:eastAsia="微软雅黑"/>
          <w:b/>
          <w:bCs/>
          <w:sz w:val="24"/>
        </w:rPr>
        <w:t>单项选择题</w:t>
      </w:r>
      <w:r>
        <w:rPr>
          <w:rFonts w:ascii="Times New Roman" w:hAnsi="Times New Roman" w:eastAsia="微软雅黑"/>
          <w:sz w:val="24"/>
        </w:rPr>
        <w:t>：1.B　2.B　3.C　4.B　5.C　6.B　7.B　8.B</w:t>
      </w:r>
    </w:p>
    <w:p w14:paraId="7F3D392F">
      <w:pPr>
        <w:pStyle w:val="3"/>
      </w:pPr>
      <w:r>
        <w:rPr>
          <w:rFonts w:ascii="Times New Roman" w:hAnsi="Times New Roman" w:eastAsia="微软雅黑"/>
          <w:b/>
          <w:bCs/>
          <w:sz w:val="24"/>
        </w:rPr>
        <w:t>判断题</w:t>
      </w:r>
      <w:r>
        <w:rPr>
          <w:rFonts w:ascii="Times New Roman" w:hAnsi="Times New Roman" w:eastAsia="微软雅黑"/>
          <w:sz w:val="24"/>
        </w:rPr>
        <w:t>：</w:t>
      </w:r>
    </w:p>
    <w:p w14:paraId="43E88B1E">
      <w:pPr>
        <w:pStyle w:val="24"/>
        <w:numPr>
          <w:ilvl w:val="0"/>
          <w:numId w:val="13"/>
        </w:numPr>
      </w:pPr>
      <w:r>
        <w:rPr>
          <w:rFonts w:ascii="Times New Roman" w:hAnsi="Times New Roman" w:eastAsia="微软雅黑"/>
          <w:sz w:val="24"/>
        </w:rPr>
        <w:t>✗（流动比率过高可能意味着资金使用效率低，如大量现金闲置或存货积压；合理水平因行业而异，不是越高越好）</w:t>
      </w:r>
    </w:p>
    <w:p w14:paraId="7CE95A81">
      <w:pPr>
        <w:pStyle w:val="24"/>
        <w:numPr>
          <w:ilvl w:val="0"/>
          <w:numId w:val="13"/>
        </w:numPr>
      </w:pPr>
      <w:r>
        <w:rPr>
          <w:rFonts w:ascii="Times New Roman" w:hAnsi="Times New Roman" w:eastAsia="微软雅黑"/>
          <w:sz w:val="24"/>
        </w:rPr>
        <w:t>✗（ROE高可能来自高财务杠杆，而非经营效率；需通过杜邦分析区分来源）</w:t>
      </w:r>
    </w:p>
    <w:p w14:paraId="57322A3E">
      <w:pPr>
        <w:pStyle w:val="24"/>
        <w:numPr>
          <w:ilvl w:val="0"/>
          <w:numId w:val="13"/>
        </w:numPr>
      </w:pPr>
      <w:r>
        <w:rPr>
          <w:rFonts w:ascii="Times New Roman" w:hAnsi="Times New Roman" w:eastAsia="微软雅黑"/>
          <w:sz w:val="24"/>
        </w:rPr>
        <w:t>✓</w:t>
      </w:r>
    </w:p>
    <w:p w14:paraId="5D29BCE0">
      <w:pPr>
        <w:pStyle w:val="24"/>
        <w:numPr>
          <w:ilvl w:val="0"/>
          <w:numId w:val="13"/>
        </w:numPr>
      </w:pPr>
      <w:r>
        <w:rPr>
          <w:rFonts w:ascii="Times New Roman" w:hAnsi="Times New Roman" w:eastAsia="微软雅黑"/>
          <w:sz w:val="24"/>
        </w:rPr>
        <w:t>✗（在参考范围内说明大致正常，但仍需关注趋势变化、与竞争对手的差距以及各指标之间的关联）</w:t>
      </w:r>
    </w:p>
    <w:p w14:paraId="3C60BCE9">
      <w:pPr>
        <w:pStyle w:val="24"/>
        <w:numPr>
          <w:ilvl w:val="0"/>
          <w:numId w:val="13"/>
        </w:numPr>
      </w:pPr>
      <w:r>
        <w:rPr>
          <w:rFonts w:ascii="Times New Roman" w:hAnsi="Times New Roman" w:eastAsia="微软雅黑"/>
          <w:sz w:val="24"/>
        </w:rPr>
        <w:t>✓（在正常经营情况下，周转率越高越好；但也需警惕过高的周转率是否来自存货不足等异常情况）</w:t>
      </w:r>
    </w:p>
    <w:p w14:paraId="57042E12">
      <w:pPr>
        <w:pStyle w:val="24"/>
        <w:numPr>
          <w:ilvl w:val="0"/>
          <w:numId w:val="13"/>
        </w:numPr>
      </w:pPr>
      <w:r>
        <w:rPr>
          <w:rFonts w:ascii="Times New Roman" w:hAnsi="Times New Roman" w:eastAsia="微软雅黑"/>
          <w:sz w:val="24"/>
        </w:rPr>
        <w:t>✗（数据缺失时应注明无法计算该指标，不能用行业均值代替，否则计算结果失去实际意义）</w:t>
      </w:r>
    </w:p>
    <w:p w14:paraId="0C19FC3C">
      <w:pPr>
        <w:pStyle w:val="23"/>
      </w:pPr>
      <w:r>
        <w:rPr>
          <w:rFonts w:ascii="Times New Roman" w:hAnsi="Times New Roman" w:eastAsia="微软雅黑"/>
          <w:b/>
          <w:bCs/>
          <w:sz w:val="24"/>
        </w:rPr>
        <w:t>简答题参考要点</w:t>
      </w:r>
      <w:r>
        <w:rPr>
          <w:rFonts w:ascii="Times New Roman" w:hAnsi="Times New Roman" w:eastAsia="微软雅黑"/>
          <w:sz w:val="24"/>
        </w:rPr>
        <w:t>：</w:t>
      </w:r>
    </w:p>
    <w:p w14:paraId="468FCA32">
      <w:pPr>
        <w:numPr>
          <w:ilvl w:val="0"/>
          <w:numId w:val="14"/>
        </w:numPr>
      </w:pPr>
      <w:r>
        <w:rPr>
          <w:rFonts w:ascii="Times New Roman" w:hAnsi="Times New Roman" w:eastAsia="微软雅黑"/>
          <w:sz w:val="24"/>
        </w:rPr>
        <w:t>三个指标递进关系：流动比率包含所有流动资产，是最宽松的标准；速动比率扣除变现最慢的存货，更严格；现金比率只计最易变现的资产，最保守。适用场景：一般性评估用流动比率；企业存货占流动资产比例较高时（如制造业、零售业），速动比率更能反映真实偿债能力；评估极端情况下的偿债能力（如信贷风险情景分析）时参考现金比率。</w:t>
      </w:r>
    </w:p>
    <w:p w14:paraId="6AB3C89B">
      <w:pPr>
        <w:numPr>
          <w:ilvl w:val="0"/>
          <w:numId w:val="14"/>
        </w:numPr>
      </w:pPr>
      <w:r>
        <w:rPr>
          <w:rFonts w:ascii="Times New Roman" w:hAnsi="Times New Roman" w:eastAsia="微软雅黑"/>
          <w:sz w:val="24"/>
        </w:rPr>
        <w:t>零售企业（如超市）：净利率极低（可能只有1%—3%），但总资产周转率极高（一年可以周转多次），通过薄利多销撑起ROE；这符合零售商业模式——商品快速流转，利润来自规模而非单件利润。科技公司：总资产周转率可能不高（轻资产但发展阶段投入大），但净利率极高（软件的边际成本接近零），靠高利润率支撑ROE；这反映了知识密集型行业的商业模式——高定价能力弥补了较低的资产利用率。</w:t>
      </w:r>
    </w:p>
    <w:p w14:paraId="02B9A9C4">
      <w:pPr>
        <w:numPr>
          <w:ilvl w:val="0"/>
          <w:numId w:val="14"/>
        </w:numPr>
      </w:pPr>
      <w:r>
        <w:rPr>
          <w:rFonts w:ascii="Times New Roman" w:hAnsi="Times New Roman" w:eastAsia="微软雅黑"/>
          <w:sz w:val="24"/>
        </w:rPr>
        <w:t>如果不强制要求从知识库查找，AI会依据训练数据中的通用标准作答——这些通用标准往往基于制造业或上市公司的平均水平，对餐饮、零售、软件等行业适用性差。强制使用知识库，保证了行业参考值与实际一致，智能体的判断才有行业针对性，而不是千篇一律地说“流动比率应达到2”。</w:t>
      </w:r>
    </w:p>
    <w:p w14:paraId="34A6669B">
      <w:pPr>
        <w:numPr>
          <w:ilvl w:val="0"/>
          <w:numId w:val="14"/>
        </w:numPr>
      </w:pPr>
      <w:r>
        <w:rPr>
          <w:rFonts w:ascii="Times New Roman" w:hAnsi="Times New Roman" w:eastAsia="微软雅黑"/>
          <w:sz w:val="24"/>
        </w:rPr>
        <w:t>单期比率的优势：计算简单，能快速对企业当前状况做截面式评估；局限：无法判断趋势（指标是在改善还是恶化？），无法区分季节性波动与结构性变化，也不能判断异常值是偶发还是持续问题。可靠性影响：只有单期数据时，分析结论的置信度较低，特别是对边界值（接近参考范围上下限的指标）的判断存在较大不确定性，应在结论中注明这一局限。</w:t>
      </w:r>
    </w:p>
    <w:p w14:paraId="2D14992C">
      <w:pPr>
        <w:pStyle w:val="23"/>
      </w:pPr>
      <w:r>
        <w:rPr>
          <w:rFonts w:ascii="Times New Roman" w:hAnsi="Times New Roman" w:eastAsia="微软雅黑"/>
          <w:b/>
          <w:bCs/>
          <w:sz w:val="24"/>
        </w:rPr>
        <w:t>综合应用题参考要点</w:t>
      </w:r>
      <w:r>
        <w:rPr>
          <w:rFonts w:ascii="Times New Roman" w:hAnsi="Times New Roman" w:eastAsia="微软雅黑"/>
          <w:sz w:val="24"/>
        </w:rPr>
        <w:t>：</w:t>
      </w:r>
    </w:p>
    <w:p w14:paraId="548CC8F0">
      <w:pPr>
        <w:numPr>
          <w:ilvl w:val="0"/>
          <w:numId w:val="15"/>
        </w:numPr>
      </w:pPr>
      <w:r>
        <w:rPr>
          <w:rFonts w:ascii="Times New Roman" w:hAnsi="Times New Roman" w:eastAsia="微软雅黑"/>
          <w:sz w:val="24"/>
        </w:rPr>
        <w:t>偿债能力指标计算：</w:t>
      </w:r>
      <w:r>
        <w:br w:type="textWrapping"/>
      </w:r>
      <w:r>
        <w:rPr>
          <w:rFonts w:ascii="Times New Roman" w:hAnsi="Times New Roman" w:eastAsia="微软雅黑"/>
          <w:sz w:val="24"/>
        </w:rPr>
        <w:t>甲公司：流动比率=1860/1050=1.77；速动比率=(1860-420)/1050=1.37；资产负债率=(4800-2200)/4800=54.2%；利息保障倍数=(352+48)/48=8.3（EBIT=净利润+利息+税，此处简化用352+48近似）</w:t>
      </w:r>
      <w:r>
        <w:br w:type="textWrapping"/>
      </w:r>
      <w:r>
        <w:rPr>
          <w:rFonts w:ascii="Times New Roman" w:hAnsi="Times New Roman" w:eastAsia="微软雅黑"/>
          <w:sz w:val="24"/>
        </w:rPr>
        <w:t>乙公司：流动比率=1240/680=1.82；速动比率=(1240-180)/680=1.56；资产负债率=(3200-1350)/3200=57.8%；利息保障倍数=(315+86)/86=4.7</w:t>
      </w:r>
      <w:r>
        <w:br w:type="textWrapping"/>
      </w:r>
      <w:r>
        <w:rPr>
          <w:rFonts w:ascii="Times New Roman" w:hAnsi="Times New Roman" w:eastAsia="微软雅黑"/>
          <w:sz w:val="24"/>
        </w:rPr>
        <w:t>评价：两家公司流动比率相近，均在安全范围内；速动比率乙公司略高；甲公司利息保障倍数（8.3）明显优于乙公司（4.7），财务安全边际更大。</w:t>
      </w:r>
    </w:p>
    <w:p w14:paraId="5826C040">
      <w:pPr>
        <w:numPr>
          <w:ilvl w:val="0"/>
          <w:numId w:val="15"/>
        </w:numPr>
      </w:pPr>
      <w:r>
        <w:rPr>
          <w:rFonts w:ascii="Times New Roman" w:hAnsi="Times New Roman" w:eastAsia="微软雅黑"/>
          <w:sz w:val="24"/>
        </w:rPr>
        <w:t>营运能力指标：</w:t>
      </w:r>
      <w:r>
        <w:br w:type="textWrapping"/>
      </w:r>
      <w:r>
        <w:rPr>
          <w:rFonts w:ascii="Times New Roman" w:hAnsi="Times New Roman" w:eastAsia="微软雅黑"/>
          <w:sz w:val="24"/>
        </w:rPr>
        <w:t>甲公司：应收账款平均=(820+860)/2=840，周转天数=365/(5600/840)=54.8天；存货平均=(410+420)/2=415，周转天数=365/(3640/415)=41.6天；总资产周转率=5600/4800=1.17次</w:t>
      </w:r>
      <w:r>
        <w:br w:type="textWrapping"/>
      </w:r>
      <w:r>
        <w:rPr>
          <w:rFonts w:ascii="Times New Roman" w:hAnsi="Times New Roman" w:eastAsia="微软雅黑"/>
          <w:sz w:val="24"/>
        </w:rPr>
        <w:t>乙公司：应收账款平均=(650+720)/2=685，周转天数=365/(4200/685)=59.5天；存货平均=(175+180)/2=177.5，周转天数=365/(2730/177.5)=23.7天；总资产周转率=4200/3200=1.31次</w:t>
      </w:r>
      <w:r>
        <w:br w:type="textWrapping"/>
      </w:r>
      <w:r>
        <w:rPr>
          <w:rFonts w:ascii="Times New Roman" w:hAnsi="Times New Roman" w:eastAsia="微软雅黑"/>
          <w:sz w:val="24"/>
        </w:rPr>
        <w:t>评价：乙公司存货周转效率（23.7天）远优于甲公司（41.6天），总资产周转率也略高；甲公司应收账款周转天数稍短，资金回收略快。</w:t>
      </w:r>
    </w:p>
    <w:p w14:paraId="7F919FA8">
      <w:pPr>
        <w:numPr>
          <w:ilvl w:val="0"/>
          <w:numId w:val="15"/>
        </w:numPr>
      </w:pPr>
      <w:r>
        <w:rPr>
          <w:rFonts w:ascii="Times New Roman" w:hAnsi="Times New Roman" w:eastAsia="微软雅黑"/>
          <w:sz w:val="24"/>
        </w:rPr>
        <w:t>盈利能力与杜邦分析：</w:t>
      </w:r>
      <w:r>
        <w:br w:type="textWrapping"/>
      </w:r>
      <w:r>
        <w:rPr>
          <w:rFonts w:ascii="Times New Roman" w:hAnsi="Times New Roman" w:eastAsia="微软雅黑"/>
          <w:sz w:val="24"/>
        </w:rPr>
        <w:t>甲公司：净利率=352/5600=6.3%；ROA=352/4800=7.3%；ROE=352/2200=16.0%；杜邦：6.3%×1.17×(4800/2200)=6.3%×1.17×2.18≈16.1%（核对）</w:t>
      </w:r>
      <w:r>
        <w:br w:type="textWrapping"/>
      </w:r>
      <w:r>
        <w:rPr>
          <w:rFonts w:ascii="Times New Roman" w:hAnsi="Times New Roman" w:eastAsia="微软雅黑"/>
          <w:sz w:val="24"/>
        </w:rPr>
        <w:t>乙公司：净利率=315/4200=7.5%；ROA=315/3200=9.8%；ROE=315/1350=23.3%；杜邦：7.5%×1.31×(3200/1350)=7.5%×1.31×2.37≈23.3%（核对）</w:t>
      </w:r>
    </w:p>
    <w:p w14:paraId="0DED6C99">
      <w:pPr>
        <w:numPr>
          <w:ilvl w:val="0"/>
          <w:numId w:val="15"/>
        </w:numPr>
      </w:pPr>
      <w:r>
        <w:rPr>
          <w:rFonts w:ascii="Times New Roman" w:hAnsi="Times New Roman" w:eastAsia="微软雅黑"/>
          <w:sz w:val="24"/>
        </w:rPr>
        <w:t>综合评估参考要点：从信贷风险角度，甲公司更适合放贷。核心理由：①甲公司利息保障倍数8.3，乙公司仅4.7，甲公司的利润对利息偿还的覆盖能力更充裕；②两家公司短期偿债能力相近；③乙公司虽然净利率和ROE较高，但ROE部分来自更高的财务杠杆（权益乘数2.37 vs 2.18），加入本次贷款后乙公司的杠杆将进一步提升，偿债压力更大；④甲公司规模更大（总资产4800万vs 3200万），抗风险能力相对更强。</w:t>
      </w:r>
    </w:p>
    <w:p w14:paraId="4D0CA1DF">
      <w:pPr>
        <w:numPr>
          <w:ilvl w:val="0"/>
          <w:numId w:val="15"/>
        </w:numPr>
      </w:pPr>
      <w:r>
        <w:rPr>
          <w:rFonts w:ascii="Times New Roman" w:hAnsi="Times New Roman" w:eastAsia="微软雅黑"/>
          <w:sz w:val="24"/>
        </w:rPr>
        <w:t>医疗器械行业特殊参考数据举例：①研发费用占收入比例参考值（医疗器械是高研发投入行业，研发费用率10%—20%属正常）；②应收账款账龄结构参考（医院客户账期普遍较长，应收账款周转天数90—180天属正常区间）；③政府集采政策对价格影响说明（集采后利润率可能大幅压缩，分析时需关注集采覆盖率）。</w:t>
      </w:r>
    </w:p>
    <w:p w14:paraId="1C59AAB5">
      <w:pPr>
        <w:pStyle w:val="23"/>
      </w:pPr>
      <w:r>
        <w:rPr>
          <w:rFonts w:ascii="Times New Roman" w:hAnsi="Times New Roman" w:eastAsia="微软雅黑"/>
          <w:b/>
          <w:bCs/>
          <w:sz w:val="24"/>
        </w:rPr>
        <w:t>素质测评参考要点</w:t>
      </w:r>
      <w:r>
        <w:rPr>
          <w:rFonts w:ascii="Times New Roman" w:hAnsi="Times New Roman" w:eastAsia="微软雅黑"/>
          <w:sz w:val="24"/>
        </w:rPr>
        <w:t>：</w:t>
      </w:r>
    </w:p>
    <w:p w14:paraId="1DA5CC34">
      <w:pPr>
        <w:numPr>
          <w:ilvl w:val="0"/>
          <w:numId w:val="16"/>
        </w:numPr>
      </w:pPr>
      <w:r>
        <w:rPr>
          <w:rFonts w:ascii="Times New Roman" w:hAnsi="Times New Roman" w:eastAsia="微软雅黑"/>
          <w:sz w:val="24"/>
        </w:rPr>
        <w:t>错误。利润增长是好信号，但不能说明财务状况全面良好。利润高但现金流差（如大量应收账款）、利润高但负债过高（财务风险大）、利润来自一次性收益而非可持续经营——这些情况在利润增长时都可能存在。财务分析需要多维度综合判断。</w:t>
      </w:r>
    </w:p>
    <w:p w14:paraId="7F3FE83C">
      <w:pPr>
        <w:numPr>
          <w:ilvl w:val="0"/>
          <w:numId w:val="16"/>
        </w:numPr>
      </w:pPr>
      <w:r>
        <w:rPr>
          <w:rFonts w:ascii="Times New Roman" w:hAnsi="Times New Roman" w:eastAsia="微软雅黑"/>
          <w:sz w:val="24"/>
        </w:rPr>
        <w:t>错误。行业参照是参考区间，不是“及格线”。在范围内不代表没有问题，比如指标连续多期在范围内但持续接近上限，说明风险在积累；范围内的指标也可能相互矛盾（如流动比率正常但现金比率极低）。分析的终点是综合判断，不是核查清单。</w:t>
      </w:r>
    </w:p>
    <w:p w14:paraId="30155F62">
      <w:pPr>
        <w:numPr>
          <w:ilvl w:val="0"/>
          <w:numId w:val="16"/>
        </w:numPr>
      </w:pPr>
      <w:r>
        <w:rPr>
          <w:rFonts w:ascii="Times New Roman" w:hAnsi="Times New Roman" w:eastAsia="微软雅黑"/>
          <w:sz w:val="24"/>
        </w:rPr>
        <w:t>错误。杜邦分析增加的信息是：ROE变化的来源。ROE从20%升到25%，可能是净利率提升（产品竞争力增强），可能是资产周转加快（运营效率提升），也可能是加了更多杠杆（财务风险增加）——三种情况的管理含义完全不同。只看ROE无法区分这三种情况，杜邦分析才能回答这个问题。</w:t>
      </w:r>
    </w:p>
    <w:p w14:paraId="06E8AD66">
      <w:pPr>
        <w:numPr>
          <w:ilvl w:val="0"/>
          <w:numId w:val="16"/>
        </w:numPr>
      </w:pPr>
      <w:r>
        <w:rPr>
          <w:rFonts w:ascii="Times New Roman" w:hAnsi="Times New Roman" w:eastAsia="微软雅黑"/>
          <w:sz w:val="24"/>
        </w:rPr>
        <w:t>错误且危险。综合评价智能体基于输入数据给出的是初步分析框架，它不了解企业的行业地位、管理团队、市场环境、贷款用途等重要背景信息，也无法核实财务数据的真实性。信贷审查涉及重大资金风险，最终判断必须由专业人员综合多方信息做出，智能体的输出是辅助工具，不是决策本身。</w:t>
      </w:r>
    </w:p>
    <w:p w14:paraId="2B429851">
      <w:pPr>
        <w:numPr>
          <w:ilvl w:val="0"/>
          <w:numId w:val="16"/>
        </w:numPr>
      </w:pPr>
      <w:r>
        <w:rPr>
          <w:rFonts w:ascii="Times New Roman" w:hAnsi="Times New Roman" w:eastAsia="微软雅黑"/>
          <w:sz w:val="24"/>
        </w:rPr>
        <w:t>不完全正确。历史数据确实不直接预测未来，但财务比率分析揭示的是一家企业的盈利模式、资本结构、运营效率等底层特征——这些特征是相对稳定的，有助于判断企业在未来面对市场变化时的抗风险能力和增长潜力。更重要的是，多期比率的趋势分析（如利润率是否持续下降、杠杆是否持续升高）对预判企业未来财务状况有直接的参考价值。</w:t>
      </w:r>
    </w:p>
    <w:bookmarkEnd w:id="0"/>
    <w:bookmarkEnd w:id="72"/>
    <w:bookmarkEnd w:id="79"/>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19A4A41"/>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qFormat/>
    <w:uiPriority w:val="0"/>
    <w:pPr>
      <w:keepNext/>
      <w:keepLines/>
      <w:spacing w:after="0"/>
    </w:pPr>
    <w:rPr>
      <w:b/>
    </w:rPr>
  </w:style>
  <w:style w:type="paragraph" w:customStyle="1" w:styleId="31">
    <w:name w:val="Definition"/>
    <w:basedOn w:val="1"/>
    <w:qFormat/>
    <w:uiPriority w:val="0"/>
  </w:style>
  <w:style w:type="paragraph" w:customStyle="1" w:styleId="32">
    <w:name w:val="Table Caption"/>
    <w:basedOn w:val="12"/>
    <w:qFormat/>
    <w:uiPriority w:val="0"/>
    <w:pPr>
      <w:keepNext/>
    </w:pPr>
  </w:style>
  <w:style w:type="paragraph" w:customStyle="1" w:styleId="33">
    <w:name w:val="Image Caption"/>
    <w:basedOn w:val="12"/>
    <w:qFormat/>
    <w:uiPriority w:val="0"/>
  </w:style>
  <w:style w:type="paragraph" w:customStyle="1" w:styleId="34">
    <w:name w:val="Figure"/>
    <w:basedOn w:val="1"/>
    <w:qFormat/>
    <w:uiPriority w:val="0"/>
  </w:style>
  <w:style w:type="paragraph" w:customStyle="1" w:styleId="35">
    <w:name w:val="Captioned Figure"/>
    <w:basedOn w:val="34"/>
    <w:qFormat/>
    <w:uiPriority w:val="0"/>
    <w:pPr>
      <w:keepNext/>
    </w:pPr>
  </w:style>
  <w:style w:type="character" w:customStyle="1" w:styleId="36">
    <w:name w:val="Verbatim Char"/>
    <w:basedOn w:val="21"/>
    <w:link w:val="37"/>
    <w:uiPriority w:val="0"/>
    <w:rPr>
      <w:rFonts w:ascii="Consolas" w:hAnsi="Consolas"/>
      <w:sz w:val="22"/>
    </w:rPr>
  </w:style>
  <w:style w:type="paragraph" w:customStyle="1" w:styleId="37">
    <w:name w:val="Source Code"/>
    <w:basedOn w:val="1"/>
    <w:link w:val="36"/>
    <w:qFormat/>
    <w:uiPriority w:val="0"/>
    <w:pPr>
      <w:wordWrap w:val="0"/>
    </w:pPr>
  </w:style>
  <w:style w:type="character" w:customStyle="1" w:styleId="38">
    <w:name w:val="Section Number"/>
    <w:basedOn w:val="21"/>
    <w:qFormat/>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qFormat/>
    <w:uiPriority w:val="0"/>
    <w:rPr>
      <w:b/>
      <w:color w:val="007020"/>
    </w:rPr>
  </w:style>
  <w:style w:type="character" w:customStyle="1" w:styleId="41">
    <w:name w:val="DataTypeTok"/>
    <w:basedOn w:val="36"/>
    <w:qFormat/>
    <w:uiPriority w:val="0"/>
    <w:rPr>
      <w:color w:val="902000"/>
    </w:rPr>
  </w:style>
  <w:style w:type="character" w:customStyle="1" w:styleId="42">
    <w:name w:val="DecValTok"/>
    <w:basedOn w:val="36"/>
    <w:qFormat/>
    <w:uiPriority w:val="0"/>
    <w:rPr>
      <w:color w:val="40A070"/>
    </w:rPr>
  </w:style>
  <w:style w:type="character" w:customStyle="1" w:styleId="43">
    <w:name w:val="BaseNTok"/>
    <w:basedOn w:val="36"/>
    <w:qFormat/>
    <w:uiPriority w:val="0"/>
    <w:rPr>
      <w:color w:val="40A070"/>
    </w:rPr>
  </w:style>
  <w:style w:type="character" w:customStyle="1" w:styleId="44">
    <w:name w:val="FloatTok"/>
    <w:basedOn w:val="36"/>
    <w:qFormat/>
    <w:uiPriority w:val="0"/>
    <w:rPr>
      <w:color w:val="40A070"/>
    </w:rPr>
  </w:style>
  <w:style w:type="character" w:customStyle="1" w:styleId="45">
    <w:name w:val="ConstantTok"/>
    <w:basedOn w:val="36"/>
    <w:qFormat/>
    <w:uiPriority w:val="0"/>
    <w:rPr>
      <w:color w:val="880000"/>
    </w:rPr>
  </w:style>
  <w:style w:type="character" w:customStyle="1" w:styleId="46">
    <w:name w:val="CharTok"/>
    <w:basedOn w:val="36"/>
    <w:qFormat/>
    <w:uiPriority w:val="0"/>
    <w:rPr>
      <w:color w:val="4070A0"/>
    </w:rPr>
  </w:style>
  <w:style w:type="character" w:customStyle="1" w:styleId="47">
    <w:name w:val="SpecialCharTok"/>
    <w:basedOn w:val="36"/>
    <w:qFormat/>
    <w:uiPriority w:val="0"/>
    <w:rPr>
      <w:color w:val="4070A0"/>
    </w:rPr>
  </w:style>
  <w:style w:type="character" w:customStyle="1" w:styleId="48">
    <w:name w:val="StringTok"/>
    <w:basedOn w:val="36"/>
    <w:qFormat/>
    <w:uiPriority w:val="0"/>
    <w:rPr>
      <w:color w:val="4070A0"/>
    </w:rPr>
  </w:style>
  <w:style w:type="character" w:customStyle="1" w:styleId="49">
    <w:name w:val="VerbatimStringTok"/>
    <w:basedOn w:val="36"/>
    <w:qFormat/>
    <w:uiPriority w:val="0"/>
    <w:rPr>
      <w:color w:val="4070A0"/>
    </w:rPr>
  </w:style>
  <w:style w:type="character" w:customStyle="1" w:styleId="50">
    <w:name w:val="SpecialStringTok"/>
    <w:basedOn w:val="36"/>
    <w:qFormat/>
    <w:uiPriority w:val="0"/>
    <w:rPr>
      <w:color w:val="BB6688"/>
    </w:rPr>
  </w:style>
  <w:style w:type="character" w:customStyle="1" w:styleId="51">
    <w:name w:val="ImportTok"/>
    <w:basedOn w:val="36"/>
    <w:qFormat/>
    <w:uiPriority w:val="0"/>
    <w:rPr>
      <w:b/>
      <w:color w:val="008000"/>
    </w:rPr>
  </w:style>
  <w:style w:type="character" w:customStyle="1" w:styleId="52">
    <w:name w:val="CommentTok"/>
    <w:basedOn w:val="36"/>
    <w:qFormat/>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qFormat/>
    <w:uiPriority w:val="0"/>
    <w:rPr>
      <w:b/>
      <w:i/>
      <w:color w:val="60A0B0"/>
    </w:rPr>
  </w:style>
  <w:style w:type="character" w:customStyle="1" w:styleId="55">
    <w:name w:val="CommentVarTok"/>
    <w:basedOn w:val="36"/>
    <w:qFormat/>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uiPriority w:val="0"/>
    <w:rPr>
      <w:color w:val="06287E"/>
    </w:rPr>
  </w:style>
  <w:style w:type="character" w:customStyle="1" w:styleId="58">
    <w:name w:val="VariableTok"/>
    <w:basedOn w:val="36"/>
    <w:qFormat/>
    <w:uiPriority w:val="0"/>
    <w:rPr>
      <w:color w:val="19177C"/>
    </w:rPr>
  </w:style>
  <w:style w:type="character" w:customStyle="1" w:styleId="59">
    <w:name w:val="ControlFlowTok"/>
    <w:basedOn w:val="36"/>
    <w:qFormat/>
    <w:uiPriority w:val="0"/>
    <w:rPr>
      <w:b/>
      <w:color w:val="007020"/>
    </w:rPr>
  </w:style>
  <w:style w:type="character" w:customStyle="1" w:styleId="60">
    <w:name w:val="OperatorTok"/>
    <w:basedOn w:val="36"/>
    <w:uiPriority w:val="0"/>
    <w:rPr>
      <w:color w:val="666666"/>
    </w:rPr>
  </w:style>
  <w:style w:type="character" w:customStyle="1" w:styleId="61">
    <w:name w:val="BuiltInTok"/>
    <w:basedOn w:val="36"/>
    <w:uiPriority w:val="0"/>
    <w:rPr>
      <w:color w:val="008000"/>
    </w:rPr>
  </w:style>
  <w:style w:type="character" w:customStyle="1" w:styleId="62">
    <w:name w:val="ExtensionTok"/>
    <w:basedOn w:val="36"/>
    <w:qFormat/>
    <w:uiPriority w:val="0"/>
  </w:style>
  <w:style w:type="character" w:customStyle="1" w:styleId="63">
    <w:name w:val="PreprocessorTok"/>
    <w:basedOn w:val="36"/>
    <w:uiPriority w:val="0"/>
    <w:rPr>
      <w:color w:val="BC7A00"/>
    </w:rPr>
  </w:style>
  <w:style w:type="character" w:customStyle="1" w:styleId="64">
    <w:name w:val="AttributeTok"/>
    <w:basedOn w:val="36"/>
    <w:uiPriority w:val="0"/>
    <w:rPr>
      <w:color w:val="7D9029"/>
    </w:rPr>
  </w:style>
  <w:style w:type="character" w:customStyle="1" w:styleId="65">
    <w:name w:val="RegionMarkerTok"/>
    <w:basedOn w:val="36"/>
    <w:uiPriority w:val="0"/>
  </w:style>
  <w:style w:type="character" w:customStyle="1" w:styleId="66">
    <w:name w:val="InformationTok"/>
    <w:basedOn w:val="36"/>
    <w:qFormat/>
    <w:uiPriority w:val="0"/>
    <w:rPr>
      <w:b/>
      <w:i/>
      <w:color w:val="60A0B0"/>
    </w:rPr>
  </w:style>
  <w:style w:type="character" w:customStyle="1" w:styleId="67">
    <w:name w:val="WarningTok"/>
    <w:basedOn w:val="36"/>
    <w:qFormat/>
    <w:uiPriority w:val="0"/>
    <w:rPr>
      <w:b/>
      <w:i/>
      <w:color w:val="60A0B0"/>
    </w:rPr>
  </w:style>
  <w:style w:type="character" w:customStyle="1" w:styleId="68">
    <w:name w:val="AlertTok"/>
    <w:basedOn w:val="36"/>
    <w:qFormat/>
    <w:uiPriority w:val="0"/>
    <w:rPr>
      <w:b/>
      <w:color w:val="FF0000"/>
    </w:rPr>
  </w:style>
  <w:style w:type="character" w:customStyle="1" w:styleId="69">
    <w:name w:val="ErrorTok"/>
    <w:basedOn w:val="36"/>
    <w:qFormat/>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40</Pages>
  <Words>83</Words>
  <Characters>475</Characters>
  <Lines>12</Lines>
  <Paragraphs>8</Paragraphs>
  <TotalTime>6</TotalTime>
  <ScaleCrop>false</ScaleCrop>
  <LinksUpToDate>false</LinksUpToDate>
  <CharactersWithSpaces>583</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2026-06-30T10:51:00Z</dcterms:created>
  <dc:creator>薛辉</dc:creator>
  <cp:lastModifiedBy>薛辉</cp:lastModifiedBy>
  <dcterms:modified xsi:type="dcterms:W3CDTF">2026-06-30T10:55:06Z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214511B5A0974E3FBD4B8D72110B08C2_13</vt:lpwstr>
  </property>
</Properties>
</file>