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项目4 从一张报销单说起：票据与报销</w:t>
      </w:r>
    </w:p>
    <w:p>
      <w:pPr>
        <w:ind w:left="454"/>
      </w:pPr>
      <w:r>
        <w:rPr>
          <w:b w:val="0"/>
          <w:i w:val="0"/>
          <w:sz w:val="22"/>
        </w:rPr>
        <w:t>版本：v2（2026年10月27日）｜ 状态：待审阅 ｜ 上一版：v1（已被本版替换，不再保留）</w:t>
      </w:r>
    </w:p>
    <w:p>
      <w:pPr>
        <w:pStyle w:val="Heading2"/>
      </w:pPr>
      <w:r>
        <w:rPr>
          <w:b w:val="0"/>
          <w:i w:val="0"/>
        </w:rPr>
        <w:t>项目导入</w:t>
      </w:r>
    </w:p>
    <w:p>
      <w:pPr>
        <w:ind w:firstLine="420"/>
      </w:pPr>
      <w:r>
        <w:rPr>
          <w:b/>
          <w:i w:val="0"/>
        </w:rPr>
        <w:t>校园线</w:t>
      </w:r>
    </w:p>
    <w:p>
      <w:pPr>
        <w:ind w:firstLine="420"/>
      </w:pPr>
      <w:r>
        <w:rPr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20"/>
      </w:pPr>
      <w:r>
        <w:rPr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1_报销场景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sz w:val="21"/>
        </w:rPr>
        <w:t>图4-1 报销场景（AI文生图）</w:t>
      </w:r>
    </w:p>
    <w:p>
      <w:pPr>
        <w:ind w:firstLine="420"/>
      </w:pPr>
      <w:r>
        <w:rPr>
          <w:b/>
          <w:i w:val="0"/>
        </w:rPr>
        <w:t>职业线</w:t>
      </w:r>
    </w:p>
    <w:p>
      <w:pPr>
        <w:ind w:firstLine="420"/>
      </w:pPr>
      <w:r>
        <w:rPr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20"/>
      </w:pPr>
      <w:r>
        <w:rPr>
          <w:b w:val="0"/>
          <w:i w:val="0"/>
        </w:rPr>
        <w:t>两个问题其实是同一个问题：</w:t>
      </w:r>
      <w:r>
        <w:rPr>
          <w:b/>
          <w:i w:val="0"/>
        </w:rPr>
        <w:t>报销单只是申请，票据才是证据。</w:t>
      </w:r>
      <w:r>
        <w:rPr>
          <w:b w:val="0"/>
          <w:i w:val="0"/>
        </w:rPr>
        <w:t xml:space="preserve"> 要判断一笔钱能不能报，先要看懂票据，知道票据上哪些信息证明了这笔钱的用途和去向。这正是本项目要解决的问题。</w:t>
      </w:r>
    </w:p>
    <w:p>
      <w:pPr>
        <w:pStyle w:val="Heading2"/>
      </w:pPr>
      <w:r>
        <w:rPr>
          <w:b w:val="0"/>
          <w:i w:val="0"/>
        </w:rPr>
        <w:t>学习目标</w:t>
      </w:r>
    </w:p>
    <w:p>
      <w:pPr>
        <w:pStyle w:val="ListBullet"/>
      </w:pPr>
      <w:r>
        <w:rPr>
          <w:b/>
          <w:i w:val="0"/>
        </w:rPr>
        <w:t>知识目标</w:t>
      </w:r>
      <w:r>
        <w:rPr>
          <w:b w:val="0"/>
          <w:i w:val="0"/>
        </w:rPr>
        <w:t>：知道常见票据的种类；能说出发票上的关键信息；理解报销对票据的基本要求及其法律依据。</w:t>
      </w:r>
    </w:p>
    <w:p>
      <w:pPr>
        <w:pStyle w:val="ListBullet"/>
      </w:pPr>
      <w:r>
        <w:rPr>
          <w:b/>
          <w:i w:val="0"/>
        </w:rPr>
        <w:t>技能目标</w:t>
      </w:r>
      <w:r>
        <w:rPr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pStyle w:val="ListBullet"/>
      </w:pPr>
      <w:r>
        <w:rPr>
          <w:b/>
          <w:i w:val="0"/>
        </w:rPr>
        <w:t>素养目标</w:t>
      </w:r>
      <w:r>
        <w:rPr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pStyle w:val="Heading2"/>
      </w:pPr>
      <w:r>
        <w:rPr>
          <w:b w:val="0"/>
          <w:i w:val="0"/>
        </w:rPr>
        <w:t>任务4.1 看懂票据和发票的关键信息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2_票据整理场景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sz w:val="21"/>
        </w:rPr>
        <w:t>图4-2 票据整理场景（AI文生图）</w:t>
      </w:r>
    </w:p>
    <w:p>
      <w:pPr>
        <w:pStyle w:val="Heading3"/>
      </w:pPr>
      <w:r>
        <w:rPr>
          <w:b w:val="0"/>
          <w:i w:val="0"/>
        </w:rPr>
        <w:t>一、为什么报销要看票据</w:t>
      </w:r>
    </w:p>
    <w:p>
      <w:pPr>
        <w:ind w:firstLine="420"/>
      </w:pPr>
      <w:r>
        <w:rPr>
          <w:b/>
          <w:i w:val="0"/>
        </w:rPr>
        <w:t>（一）原始凭证是什么</w:t>
      </w:r>
    </w:p>
    <w:p>
      <w:pPr>
        <w:ind w:firstLine="420"/>
      </w:pPr>
      <w:r>
        <w:rPr>
          <w:b w:val="0"/>
          <w:i w:val="0"/>
        </w:rPr>
        <w:t>在会计工作中，业务发生时取得或填制的、用来证明经济业务真实发生的书面或电子证据，称为</w:t>
      </w:r>
      <w:r>
        <w:rPr>
          <w:b/>
          <w:i w:val="0"/>
        </w:rPr>
        <w:t>原始凭证</w:t>
      </w:r>
      <w:r>
        <w:rPr>
          <w:b w:val="0"/>
          <w:i w:val="0"/>
        </w:rPr>
        <w:t>。报销单、记账凭证都是在它的基础上形成的。</w:t>
      </w:r>
    </w:p>
    <w:p>
      <w:pPr>
        <w:ind w:firstLine="420"/>
      </w:pPr>
      <w:r>
        <w:rPr>
          <w:b w:val="0"/>
          <w:i w:val="0"/>
        </w:rPr>
        <w:t>《中华人民共和国会计法》（2024年修正）第十四条规定：办理经济业务事项，必须填制或者取得原始凭证并及时送交会计机构；会计机构、会计人员对不真实、不合法的原始凭证有权不予接受，对记载不准确、不完整的原始凭证予以退回，并要求更正、补充。</w:t>
      </w:r>
    </w:p>
    <w:p>
      <w:pPr>
        <w:ind w:firstLine="420"/>
      </w:pPr>
      <w:r>
        <w:rPr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20"/>
      </w:pPr>
      <w:r>
        <w:rPr>
          <w:b/>
          <w:i w:val="0"/>
        </w:rPr>
        <w:t>（二）原始凭证应当具备哪些内容</w:t>
      </w:r>
    </w:p>
    <w:p>
      <w:pPr>
        <w:ind w:firstLine="420"/>
      </w:pPr>
      <w:r>
        <w:rPr>
          <w:b w:val="0"/>
          <w:i w:val="0"/>
        </w:rPr>
        <w:t>财政部《会计基础工作规范》（财政部令第98号，2019年修订）第四十八条规定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20"/>
      </w:pPr>
      <w:r>
        <w:rPr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left="454"/>
      </w:pPr>
      <w:r>
        <w:rPr>
          <w:b w:val="0"/>
          <w:i w:val="0"/>
          <w:sz w:val="22"/>
        </w:rPr>
        <w:t>说明：财政部部分规章可能有修订或征求意见稿，本书以现行有效文本为准，出版前及使用时需查询最新规定。</w:t>
      </w:r>
    </w:p>
    <w:p>
      <w:pPr>
        <w:ind w:firstLine="420"/>
      </w:pPr>
      <w:r>
        <w:rPr>
          <w:b/>
          <w:i w:val="0"/>
        </w:rPr>
        <w:t>（三）为什么超市小票常常不能报</w:t>
      </w:r>
    </w:p>
    <w:p>
      <w:pPr>
        <w:ind w:firstLine="420"/>
      </w:pPr>
      <w:r>
        <w:rPr>
          <w:b w:val="0"/>
          <w:i w:val="0"/>
        </w:rPr>
        <w:t>超市小票上通常有商品名称、金额和时间，看起来很完整。但它缺少两个关键要素：一是</w:t>
      </w:r>
      <w:r>
        <w:rPr>
          <w:b/>
          <w:i w:val="0"/>
        </w:rPr>
        <w:t>接受凭证单位名称</w:t>
      </w:r>
      <w:r>
        <w:rPr>
          <w:b w:val="0"/>
          <w:i w:val="0"/>
        </w:rPr>
        <w:t>，即无法证明这笔钱是由哪个单位支付的；二是</w:t>
      </w:r>
      <w:r>
        <w:rPr>
          <w:b/>
          <w:i w:val="0"/>
        </w:rPr>
        <w:t>经办人或审批人</w:t>
      </w:r>
      <w:r>
        <w:rPr>
          <w:b w:val="0"/>
          <w:i w:val="0"/>
        </w:rPr>
        <w:t>的信息，无法证明这笔支出经过了内部审批。</w:t>
      </w:r>
    </w:p>
    <w:p>
      <w:pPr>
        <w:ind w:firstLine="420"/>
      </w:pPr>
      <w:r>
        <w:rPr>
          <w:b w:val="0"/>
          <w:i w:val="0"/>
        </w:rPr>
        <w:t>《发票管理办法》（2023年修订，国务院令第764号）第二十条规定：不符合规定的发票，不得作为财务报销凭证，任何单位和个人有权拒收。因此，小票不能代替发票作为报销凭证，这一要求有法律依据。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20"/>
      </w:pPr>
      <w:r>
        <w:rPr>
          <w:b w:val="0"/>
          <w:i w:val="0"/>
        </w:rPr>
        <w:t>这里要注意：</w:t>
      </w:r>
      <w:r>
        <w:rPr>
          <w:b/>
          <w:i w:val="0"/>
        </w:rPr>
        <w:t>“不能报”不等于“不能花”</w:t>
      </w:r>
      <w:r>
        <w:rPr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b w:val="0"/>
          <w:i w:val="0"/>
        </w:rPr>
        <w:t>二、常见票据有哪些</w:t>
      </w:r>
    </w:p>
    <w:p>
      <w:pPr>
        <w:ind w:firstLine="420"/>
      </w:pPr>
      <w:r>
        <w:rPr>
          <w:b w:val="0"/>
          <w:i w:val="0"/>
        </w:rPr>
        <w:t>校园和职场中，最常见的几类票据如表4-1所示。</w:t>
      </w:r>
    </w:p>
    <w:p>
      <w:pPr>
        <w:ind w:firstLine="420"/>
      </w:pPr>
      <w:r>
        <w:rPr>
          <w:b/>
          <w:i w:val="0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票据类型</w:t>
            </w:r>
          </w:p>
        </w:tc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常见来源</w:t>
            </w:r>
          </w:p>
        </w:tc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属于电子发票，不再使用纸质报销凭证；报销时以电子发票为凭证，具体以单位制度为准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通常与发票配合使用；是否需要配合使用、需要哪些信息，以单位制度为准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/>
    <w:p>
      <w:pPr>
        <w:ind w:firstLine="420"/>
      </w:pPr>
      <w:r>
        <w:rPr>
          <w:b w:val="0"/>
          <w:i w:val="0"/>
        </w:rPr>
        <w:t>图4-3 从三个审核维度对几类常见票据作了归纳，便于快速判断。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8093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3_票据审核矩阵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09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sz w:val="21"/>
        </w:rPr>
        <w:t>图4-3 常见票据的审核维度矩阵（SVG热力图，示意归纳）</w:t>
      </w:r>
    </w:p>
    <w:p>
      <w:pPr>
        <w:ind w:firstLine="420"/>
      </w:pPr>
      <w:r>
        <w:rPr>
          <w:b/>
          <w:i w:val="0"/>
        </w:rPr>
        <w:t>关于铁路票据的说明</w:t>
      </w:r>
      <w:r>
        <w:rPr>
          <w:b w:val="0"/>
          <w:i w:val="0"/>
        </w:rPr>
        <w:t>：2024年，国家税务总局、财政部、中国国家铁路集团有限公司发布公告（2024年第8号），规定铁路客运推广使用全面数字化的电子发票。公告规定，2025年10月1日起铁路客运全面使用电子发票，乘车日期在2025年9月30日前的纸质车票仍可报销。如果你的单位还要求提供行程信息，应当按单位制度执行，不要想当然地认为“只要有票就行”，也不要认为“必须补一张行程单”。</w:t>
      </w:r>
    </w:p>
    <w:p>
      <w:pPr>
        <w:ind w:firstLine="420"/>
      </w:pPr>
      <w:r>
        <w:rPr>
          <w:b/>
          <w:i w:val="0"/>
        </w:rPr>
        <w:t>关于增值税抵扣的说明</w:t>
      </w:r>
      <w:r>
        <w:rPr>
          <w:b w:val="0"/>
          <w:i w:val="0"/>
        </w:rPr>
        <w:t>：在企业财务中，增值税专用发票和普通发票的用途不同，能否抵扣进项税额，取决于发票类型、纳税人身份以及具体业务。根据国家税务总局公告2019年第45号，2017年1月1日及以后开具的增值税专用发票等扣税凭证，取消了认证确认、稽核比对和申报抵扣的期限，但具体抵扣规则仍需按照现行税收规定执行。学生在这里只需要理解一点：</w:t>
      </w:r>
      <w:r>
        <w:rPr>
          <w:b/>
          <w:i w:val="0"/>
        </w:rPr>
        <w:t>不同发票的用途不同，报销时要按单位的要求取得正确的票据。</w:t>
      </w:r>
    </w:p>
    <w:p>
      <w:pPr>
        <w:pStyle w:val="Heading3"/>
      </w:pPr>
      <w:r>
        <w:rPr>
          <w:b w:val="0"/>
          <w:i w:val="0"/>
        </w:rPr>
        <w:t>三、发票上的关键信息</w:t>
      </w:r>
    </w:p>
    <w:p>
      <w:pPr>
        <w:ind w:firstLine="420"/>
      </w:pPr>
      <w:r>
        <w:rPr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ind w:firstLine="420"/>
      </w:pPr>
      <w:r>
        <w:rPr>
          <w:b/>
          <w:i w:val="0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序号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检查项目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检查要点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常见问题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4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6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9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防止虚报重复</w:t>
            </w:r>
          </w:p>
        </w:tc>
      </w:tr>
    </w:tbl>
    <w:p/>
    <w:p>
      <w:pPr>
        <w:ind w:firstLine="420"/>
      </w:pPr>
      <w:r>
        <w:rPr>
          <w:b/>
          <w:i w:val="0"/>
        </w:rPr>
        <w:t>一个简单的验证方法</w:t>
      </w:r>
      <w:r>
        <w:rPr>
          <w:b w:val="0"/>
          <w:i w:val="0"/>
        </w:rPr>
        <w:t>（可用图4-5的核验工具练习，见下方链接）：假设价税合计为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20"/>
      </w:pPr>
      <w:r>
        <w:rPr>
          <w:b/>
          <w:i w:val="0"/>
        </w:rPr>
        <w:t>需要特别注意的是</w:t>
      </w:r>
      <w:r>
        <w:rPr>
          <w:b w:val="0"/>
          <w:i w:val="0"/>
        </w:rPr>
        <w:t>：如果发票的购买方、销售方、项目名称或金额与实际经营业务不一致，就属于《发票管理办法实施细则》第二十九条所说的“与实际经营业务情况不符”，情节严重的可能构成虚开发票。因此，核对发票不是形式上的“看一眼”，而是要确认票据内容与实际业务是否一致。</w:t>
      </w:r>
    </w:p>
    <w:p>
      <w:pPr>
        <w:pStyle w:val="Heading3"/>
      </w:pPr>
      <w:r>
        <w:rPr>
          <w:b w:val="0"/>
          <w:i w:val="0"/>
        </w:rPr>
        <w:t>四、实践：用大模型识别发票信息并核对</w:t>
      </w:r>
    </w:p>
    <w:p>
      <w:pPr>
        <w:ind w:firstLine="420"/>
      </w:pPr>
      <w:r>
        <w:rPr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20"/>
      </w:pPr>
      <w:r>
        <w:rPr>
          <w:b/>
          <w:i w:val="0"/>
        </w:rPr>
        <w:t>（一）准备票据文件</w:t>
      </w:r>
    </w:p>
    <w:p>
      <w:pPr>
        <w:pStyle w:val="ListNumber"/>
      </w:pPr>
      <w:r>
        <w:rPr>
          <w:b/>
          <w:i w:val="0"/>
        </w:rPr>
        <w:t>优先使用原始电子文件</w:t>
      </w:r>
      <w:r>
        <w:rPr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pStyle w:val="ListNumber"/>
      </w:pPr>
      <w:r>
        <w:rPr>
          <w:b/>
          <w:i w:val="0"/>
        </w:rPr>
        <w:t>纸质票据要拍清楚</w:t>
      </w:r>
      <w:r>
        <w:rPr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pStyle w:val="ListNumber"/>
      </w:pPr>
      <w:r>
        <w:rPr>
          <w:b/>
          <w:i w:val="0"/>
        </w:rPr>
        <w:t>只上传需要报销的票据</w:t>
      </w:r>
      <w:r>
        <w:rPr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20"/>
      </w:pPr>
      <w:r>
        <w:rPr>
          <w:b/>
          <w:i w:val="0"/>
        </w:rPr>
        <w:t>（二）输入提示词</w:t>
      </w:r>
    </w:p>
    <w:p>
      <w:pPr>
        <w:ind w:firstLine="420"/>
      </w:pPr>
      <w:r>
        <w:rPr>
          <w:b w:val="0"/>
          <w:i w:val="0"/>
        </w:rPr>
        <w:t>提示词的质量直接影响识别效果。下面给出两个版本，便于对比。</w:t>
      </w:r>
    </w:p>
    <w:p>
      <w:pPr>
        <w:ind w:firstLine="420"/>
      </w:pPr>
      <w:r>
        <w:rPr>
          <w:b/>
          <w:i w:val="0"/>
        </w:rPr>
        <w:t>基础版提示词</w:t>
      </w:r>
      <w:r>
        <w:rPr>
          <w:b w:val="0"/>
          <w:i w:val="0"/>
        </w:rPr>
        <w:t>：</w:t>
      </w:r>
    </w:p>
    <w:p>
      <w:pPr>
        <w:ind w:left="454"/>
      </w:pPr>
      <w:r>
        <w:rPr>
          <w:b w:val="0"/>
          <w:i w:val="0"/>
          <w:sz w:val="22"/>
        </w:rPr>
        <w:t>请识别这张发票的信息。</w:t>
      </w:r>
    </w:p>
    <w:p>
      <w:pPr>
        <w:ind w:firstLine="420"/>
      </w:pPr>
      <w:r>
        <w:rPr>
          <w:b w:val="0"/>
          <w:i w:val="0"/>
        </w:rPr>
        <w:t>这样的提示词太笼统，大模型可能只给出一段概括，或者遗漏关键字段。</w:t>
      </w:r>
    </w:p>
    <w:p>
      <w:pPr>
        <w:ind w:firstLine="420"/>
      </w:pPr>
      <w:r>
        <w:rPr>
          <w:b/>
          <w:i w:val="0"/>
        </w:rPr>
        <w:t>改进版提示词</w:t>
      </w:r>
      <w:r>
        <w:rPr>
          <w:b w:val="0"/>
          <w:i w:val="0"/>
        </w:rPr>
        <w:t>：</w:t>
      </w:r>
    </w:p>
    <w:p>
      <w:pPr>
        <w:ind w:left="454"/>
      </w:pPr>
      <w:r>
        <w:rPr>
          <w:b w:val="0"/>
          <w:i w:val="0"/>
          <w:sz w:val="22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54"/>
      </w:pPr>
      <w:r>
        <w:rPr>
          <w:b w:val="0"/>
          <w:i w:val="0"/>
          <w:sz w:val="22"/>
        </w:rPr>
        <w:t>要求：</w:t>
      </w:r>
    </w:p>
    <w:p>
      <w:pPr>
        <w:ind w:left="454"/>
      </w:pPr>
      <w:r>
        <w:rPr>
          <w:b w:val="0"/>
          <w:i w:val="0"/>
          <w:sz w:val="22"/>
        </w:rPr>
        <w:t>1. 严格按照发票上的文字填写，不要改写、不要补充；</w:t>
      </w:r>
    </w:p>
    <w:p>
      <w:pPr>
        <w:ind w:left="454"/>
      </w:pPr>
      <w:r>
        <w:rPr>
          <w:b w:val="0"/>
          <w:i w:val="0"/>
          <w:sz w:val="22"/>
        </w:rPr>
        <w:t>2. 如果某个字段看不清或无法识别，请填写“无法识别”，不要猜测；</w:t>
      </w:r>
    </w:p>
    <w:p>
      <w:pPr>
        <w:ind w:left="454"/>
      </w:pPr>
      <w:r>
        <w:rPr>
          <w:b w:val="0"/>
          <w:i w:val="0"/>
          <w:sz w:val="22"/>
        </w:rPr>
        <w:t>3. 完成后，请检查“金额 + 税额 = 价税合计”是否成立，并在表格下方说明结果。</w:t>
      </w:r>
    </w:p>
    <w:p>
      <w:pPr>
        <w:ind w:firstLine="420"/>
      </w:pPr>
      <w:r>
        <w:rPr>
          <w:b w:val="0"/>
          <w:i w:val="0"/>
        </w:rPr>
        <w:t>改进版提示词的关键有三点：</w:t>
      </w:r>
      <w:r>
        <w:rPr>
          <w:b/>
          <w:i w:val="0"/>
        </w:rPr>
        <w:t>限定角色</w:t>
      </w:r>
      <w:r>
        <w:rPr>
          <w:b w:val="0"/>
          <w:i w:val="0"/>
        </w:rPr>
        <w:t>，让大模型按财务的口径工作；</w:t>
      </w:r>
      <w:r>
        <w:rPr>
          <w:b/>
          <w:i w:val="0"/>
        </w:rPr>
        <w:t>限定字段</w:t>
      </w:r>
      <w:r>
        <w:rPr>
          <w:b w:val="0"/>
          <w:i w:val="0"/>
        </w:rPr>
        <w:t>，避免遗漏；</w:t>
      </w:r>
      <w:r>
        <w:rPr>
          <w:b/>
          <w:i w:val="0"/>
        </w:rPr>
        <w:t>限定规则</w:t>
      </w:r>
      <w:r>
        <w:rPr>
          <w:b w:val="0"/>
          <w:i w:val="0"/>
        </w:rPr>
        <w:t>，要求它承认不确定，而不是猜测。</w:t>
      </w:r>
    </w:p>
    <w:p>
      <w:pPr>
        <w:ind w:firstLine="420"/>
      </w:pPr>
      <w:r>
        <w:rPr>
          <w:b/>
          <w:i w:val="0"/>
        </w:rPr>
        <w:t>（三）检查输出结果</w:t>
      </w:r>
    </w:p>
    <w:p>
      <w:pPr>
        <w:ind w:firstLine="420"/>
      </w:pPr>
      <w:r>
        <w:rPr>
          <w:b w:val="0"/>
          <w:i w:val="0"/>
        </w:rPr>
        <w:t>大模型的输出需要经过三次核对。</w:t>
      </w:r>
    </w:p>
    <w:p>
      <w:pPr>
        <w:ind w:firstLine="420"/>
      </w:pPr>
      <w:r>
        <w:rPr>
          <w:b w:val="0"/>
          <w:i w:val="0"/>
        </w:rPr>
        <w:t>第一次核对：</w:t>
      </w:r>
      <w:r>
        <w:rPr>
          <w:b/>
          <w:i w:val="0"/>
        </w:rPr>
        <w:t>与原票逐项比对</w:t>
      </w:r>
      <w:r>
        <w:rPr>
          <w:b w:val="0"/>
          <w:i w:val="0"/>
        </w:rPr>
        <w:t>。以原票为准，逐个字段检查。</w:t>
      </w:r>
    </w:p>
    <w:p>
      <w:pPr>
        <w:ind w:firstLine="420"/>
      </w:pPr>
      <w:r>
        <w:rPr>
          <w:b w:val="0"/>
          <w:i w:val="0"/>
        </w:rPr>
        <w:t>第二次核对：</w:t>
      </w:r>
      <w:r>
        <w:rPr>
          <w:b/>
          <w:i w:val="0"/>
        </w:rPr>
        <w:t>用计算检查数字</w:t>
      </w:r>
      <w:r>
        <w:rPr>
          <w:b w:val="0"/>
          <w:i w:val="0"/>
        </w:rPr>
        <w:t>。检查金额、税率、税额和价税合计之间的关系。</w:t>
      </w:r>
    </w:p>
    <w:p>
      <w:pPr>
        <w:ind w:firstLine="420"/>
      </w:pPr>
      <w:r>
        <w:rPr>
          <w:b w:val="0"/>
          <w:i w:val="0"/>
        </w:rPr>
        <w:t>第三次核对：</w:t>
      </w:r>
      <w:r>
        <w:rPr>
          <w:b/>
          <w:i w:val="0"/>
        </w:rPr>
        <w:t>用税务机关提供的渠道查验</w:t>
      </w:r>
      <w:r>
        <w:rPr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20"/>
      </w:pPr>
      <w:r>
        <w:rPr>
          <w:b w:val="0"/>
          <w:i w:val="0"/>
        </w:rPr>
        <w:t>假设大模型给出的识别结果如表4-3所示，我们用上面的方法逐项检查。</w:t>
      </w:r>
    </w:p>
    <w:p>
      <w:pPr>
        <w:ind w:firstLine="420"/>
      </w:pPr>
      <w:r>
        <w:rPr>
          <w:b/>
          <w:i w:val="0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字段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原票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核对结论</w:t>
            </w:r>
          </w:p>
        </w:tc>
        <w:tc>
          <w:tcPr>
            <w:tcW w:type="dxa" w:w="188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13%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3%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88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按修正后的金额重新计算</w:t>
            </w:r>
          </w:p>
        </w:tc>
      </w:tr>
    </w:tbl>
    <w:p/>
    <w:p>
      <w:pPr>
        <w:ind w:firstLine="420"/>
      </w:pPr>
      <w:r>
        <w:rPr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b/>
          <w:i w:val="0"/>
        </w:rPr>
        <w:t>大模型给出的计算结果不能直接采信，必须用原票和计算两重核对。</w:t>
      </w:r>
      <w:r>
        <w:rPr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54"/>
      </w:pPr>
      <w:r>
        <w:rPr>
          <w:b w:val="0"/>
          <w:i w:val="0"/>
          <w:sz w:val="22"/>
        </w:rPr>
        <w:t>注：表中税号为示例号码，不是真实税号。</w:t>
      </w:r>
    </w:p>
    <w:p>
      <w:pPr>
        <w:ind w:firstLine="420"/>
      </w:pPr>
      <w:r>
        <w:rPr>
          <w:b/>
          <w:i w:val="0"/>
        </w:rPr>
        <w:t>（四）记录核对结果</w:t>
      </w:r>
    </w:p>
    <w:p>
      <w:pPr>
        <w:ind w:firstLine="420"/>
      </w:pPr>
      <w:r>
        <w:rPr>
          <w:b w:val="0"/>
          <w:i w:val="0"/>
        </w:rPr>
        <w:t>核对完成后，把结果录入表格，并在备注栏注明处理状态：</w:t>
      </w:r>
      <w:r>
        <w:rPr>
          <w:b/>
          <w:i w:val="0"/>
        </w:rPr>
        <w:t>已核对、需更正、需补充、不可报销</w:t>
      </w:r>
      <w:r>
        <w:rPr>
          <w:b w:val="0"/>
          <w:i w:val="0"/>
        </w:rPr>
        <w:t>。这样做的好处是，即使以后有人询问，也能说清楚每一张票据是怎么处理的。</w:t>
      </w:r>
    </w:p>
    <w:p>
      <w:pPr>
        <w:ind w:firstLine="420"/>
      </w:pPr>
      <w:r>
        <w:rPr>
          <w:b w:val="0"/>
          <w:i w:val="0"/>
        </w:rPr>
        <w:t>图4-4 展示了上述核对流程，可以作为操作时的参考。</w:t>
      </w:r>
    </w:p>
    <w:p>
      <w:pPr>
        <w:ind w:firstLine="420"/>
      </w:pPr>
      <w:r>
        <w:rPr>
          <w:b w:val="0"/>
          <w:i w:val="0"/>
        </w:rPr>
        <w:t>图4-4 同时以 mermaid 源文件（</w:t>
      </w:r>
      <w:r>
        <w:rPr>
          <w:rFonts w:ascii="Consolas" w:hAnsi="Consolas"/>
          <w:i w:val="0"/>
        </w:rPr>
        <w:t>图表/项目4_图4-4_核对流程_v1.mmd</w:t>
      </w:r>
      <w:r>
        <w:rPr>
          <w:b w:val="0"/>
          <w:i w:val="0"/>
        </w:rPr>
        <w:t>）和 SVG 图（</w:t>
      </w:r>
      <w:r>
        <w:rPr>
          <w:rFonts w:ascii="Consolas" w:hAnsi="Consolas"/>
          <w:i w:val="0"/>
        </w:rPr>
        <w:t>图表/项目4_图4-4_核对流程_v1.svg</w:t>
      </w:r>
      <w:r>
        <w:rPr>
          <w:b w:val="0"/>
          <w:i w:val="0"/>
        </w:rPr>
        <w:t>）保存。下方为 mermaid 代码：</w:t>
      </w:r>
    </w:p>
    <w:p>
      <w:pPr>
        <w:jc w:val="center"/>
      </w:pPr>
      <w:r>
        <w:rPr>
          <w:b w:val="0"/>
          <w:i w:val="0"/>
          <w:sz w:val="21"/>
        </w:rPr>
        <w:t>图4-4 大模型识别票据信息的核对流程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5115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4_图4-4_核对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11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sz w:val="21"/>
        </w:rPr>
        <w:t>图4-4 核对流程（SVG）</w:t>
      </w:r>
    </w:p>
    <w:p>
      <w:pPr>
        <w:ind w:firstLine="420"/>
      </w:pPr>
      <w:r>
        <w:rPr>
          <w:b w:val="0"/>
          <w:i w:val="0"/>
        </w:rPr>
        <w:t>交互练习：打开 图4-5 发票金额核验工具（图表/项目4_图4-5_发票金额核验_v1.html）（HTML，可在浏览器中直接打开），输入表4-3中的数字进行核验。</w:t>
      </w:r>
    </w:p>
    <w:p>
      <w:pPr>
        <w:pStyle w:val="Heading3"/>
      </w:pPr>
      <w:r>
        <w:rPr>
          <w:b w:val="0"/>
          <w:i w:val="0"/>
        </w:rPr>
        <w:t>五、常见错误与应对</w:t>
      </w:r>
    </w:p>
    <w:p>
      <w:pPr>
        <w:ind w:firstLine="420"/>
      </w:pPr>
      <w:r>
        <w:rPr>
          <w:b w:val="0"/>
          <w:i w:val="0"/>
        </w:rPr>
        <w:t>下面是使用大模型识别票据时常见的错误，以及相应的应对办法。</w:t>
      </w:r>
    </w:p>
    <w:p>
      <w:pPr>
        <w:ind w:firstLine="420"/>
      </w:pPr>
      <w:r>
        <w:rPr>
          <w:b/>
          <w:i w:val="0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错误类型</w:t>
            </w:r>
          </w:p>
        </w:tc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典型表现</w:t>
            </w:r>
          </w:p>
        </w:tc>
        <w:tc>
          <w:tcPr>
            <w:tcW w:type="dxa" w:w="3135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/>
    <w:p>
      <w:pPr>
        <w:ind w:firstLine="420"/>
      </w:pPr>
      <w:r>
        <w:rPr>
          <w:b w:val="0"/>
          <w:i w:val="0"/>
        </w:rPr>
        <w:t>这些错误说明：</w:t>
      </w:r>
      <w:r>
        <w:rPr>
          <w:b/>
          <w:i w:val="0"/>
        </w:rPr>
        <w:t>大模型是助手，不是判断者。</w:t>
      </w:r>
      <w:r>
        <w:rPr>
          <w:b w:val="0"/>
          <w:i w:val="0"/>
        </w:rPr>
        <w:t xml:space="preserve"> 最终判断应当由人作出，这一点在后续项目中会反复强调。</w:t>
      </w:r>
    </w:p>
    <w:p>
      <w:pPr>
        <w:pStyle w:val="Heading3"/>
      </w:pPr>
      <w:r>
        <w:rPr>
          <w:b w:val="0"/>
          <w:i w:val="0"/>
        </w:rPr>
        <w:t>六、拓展（选做）</w:t>
      </w:r>
    </w:p>
    <w:p>
      <w:pPr>
        <w:ind w:firstLine="420"/>
      </w:pPr>
      <w:r>
        <w:rPr>
          <w:b/>
          <w:i w:val="0"/>
        </w:rPr>
        <w:t>拓展一：为什么报销要强调“同一张发票只能报销一次”</w:t>
      </w:r>
    </w:p>
    <w:p>
      <w:pPr>
        <w:ind w:firstLine="420"/>
      </w:pPr>
      <w:r>
        <w:rPr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20"/>
      </w:pPr>
      <w:r>
        <w:rPr>
          <w:b/>
          <w:i w:val="0"/>
        </w:rPr>
        <w:t>拓展二：用表格汇总一批票据的金额</w:t>
      </w:r>
    </w:p>
    <w:p>
      <w:pPr>
        <w:ind w:firstLine="420"/>
      </w:pPr>
      <w:r>
        <w:rPr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pStyle w:val="Heading3"/>
      </w:pPr>
      <w:r>
        <w:rPr>
          <w:b w:val="0"/>
          <w:i w:val="0"/>
        </w:rPr>
        <w:t>七、回到案例</w:t>
      </w:r>
    </w:p>
    <w:p>
      <w:pPr>
        <w:ind w:firstLine="420"/>
      </w:pPr>
      <w:r>
        <w:rPr>
          <w:b/>
          <w:i w:val="0"/>
        </w:rPr>
        <w:t>回到校园线</w:t>
      </w:r>
    </w:p>
    <w:p>
      <w:pPr>
        <w:ind w:firstLine="420"/>
      </w:pPr>
      <w:r>
        <w:rPr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类别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票据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理由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/>
    <w:p>
      <w:pPr>
        <w:ind w:firstLine="420"/>
      </w:pPr>
      <w:r>
        <w:rPr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20"/>
      </w:pPr>
      <w:r>
        <w:rPr>
          <w:b/>
          <w:i w:val="0"/>
        </w:rPr>
        <w:t>回到职业线</w:t>
      </w:r>
    </w:p>
    <w:p>
      <w:pPr>
        <w:ind w:firstLine="420"/>
      </w:pPr>
      <w:r>
        <w:rPr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类别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票据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理由</w:t>
            </w:r>
          </w:p>
        </w:tc>
        <w:tc>
          <w:tcPr>
            <w:tcW w:type="dxa" w:w="2351"/>
            <w:shd w:val="clear" w:color="auto" w:fill="D9E2F3"/>
          </w:tcPr>
          <w:p>
            <w:pPr>
              <w:spacing w:line="288" w:lineRule="auto"/>
            </w:pPr>
            <w:r/>
            <w:r>
              <w:rPr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属于电子发票，报销以电子发票为凭证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351"/>
          </w:tcPr>
          <w:p>
            <w:pPr>
              <w:spacing w:line="288" w:lineRule="auto"/>
            </w:pPr>
            <w:r/>
            <w:r>
              <w:rPr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/>
    <w:p>
      <w:pPr>
        <w:ind w:firstLine="420"/>
      </w:pPr>
      <w:r>
        <w:rPr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20"/>
      </w:pPr>
      <w:r>
        <w:rPr>
          <w:b w:val="0"/>
          <w:i w:val="0"/>
        </w:rPr>
        <w:t>这句话也正是本书要强调的：</w:t>
      </w:r>
      <w:r>
        <w:rPr>
          <w:b/>
          <w:i w:val="0"/>
        </w:rPr>
        <w:t>大模型可以帮你整理票据，但单位制度和法律规定才是判断的依据。</w:t>
      </w:r>
    </w:p>
    <w:p>
      <w:pPr>
        <w:ind w:firstLine="420"/>
      </w:pPr>
      <w:r>
        <w:rPr>
          <w:b/>
          <w:i w:val="0"/>
        </w:rPr>
        <w:t>下一步</w:t>
      </w:r>
      <w:r>
        <w:rPr>
          <w:b w:val="0"/>
          <w:i w:val="0"/>
        </w:rPr>
        <w:t>：任务4.2 用检查清单审核报销材料（待写）。</w:t>
      </w:r>
    </w:p>
    <w:p>
      <w:pPr>
        <w:pStyle w:val="Heading2"/>
      </w:pPr>
      <w:r>
        <w:rPr>
          <w:b w:val="0"/>
          <w:i w:val="0"/>
        </w:rPr>
        <w:t>法律与制度依据（本任务引用）</w:t>
      </w:r>
    </w:p>
    <w:p>
      <w:pPr>
        <w:pStyle w:val="ListNumber"/>
      </w:pPr>
      <w:r>
        <w:rPr>
          <w:b w:val="0"/>
          <w:i w:val="0"/>
        </w:rPr>
        <w:t>《中华人民共和国会计法》（2024年修正），第十四条。</w:t>
      </w:r>
    </w:p>
    <w:p>
      <w:pPr>
        <w:pStyle w:val="ListNumber"/>
      </w:pPr>
      <w:r>
        <w:rPr>
          <w:b w:val="0"/>
          <w:i w:val="0"/>
        </w:rPr>
        <w:t>《会计基础工作规范》（财政部令第98号，2019年修订），第四十八条。</w:t>
      </w:r>
    </w:p>
    <w:p>
      <w:pPr>
        <w:pStyle w:val="ListNumber"/>
      </w:pPr>
      <w:r>
        <w:rPr>
          <w:b w:val="0"/>
          <w:i w:val="0"/>
        </w:rPr>
        <w:t>《中华人民共和国发票管理办法》（2023年修订，国务院令第764号），第二十条。</w:t>
      </w:r>
    </w:p>
    <w:p>
      <w:pPr>
        <w:pStyle w:val="ListNumber"/>
      </w:pPr>
      <w:r>
        <w:rPr>
          <w:b w:val="0"/>
          <w:i w:val="0"/>
        </w:rPr>
        <w:t>《中华人民共和国发票管理办法实施细则》（国家税务总局令第56号），第二十九条。</w:t>
      </w:r>
    </w:p>
    <w:p>
      <w:pPr>
        <w:pStyle w:val="ListNumber"/>
      </w:pPr>
      <w:r>
        <w:rPr>
          <w:b w:val="0"/>
          <w:i w:val="0"/>
        </w:rPr>
        <w:t>国家税务总局公告2019年第45号，关于取消增值税扣税凭证认证确认期限等事项。</w:t>
      </w:r>
    </w:p>
    <w:p>
      <w:pPr>
        <w:pStyle w:val="ListNumber"/>
      </w:pPr>
      <w:r>
        <w:rPr>
          <w:b w:val="0"/>
          <w:i w:val="0"/>
        </w:rPr>
        <w:t>国家税务总局、财政部、中国国家铁路集团有限公司公告2024年第8号，关于铁路客运推广使用全面数字化的电子发票。</w:t>
      </w:r>
    </w:p>
    <w:p>
      <w:pPr>
        <w:ind w:left="454"/>
      </w:pPr>
      <w:r>
        <w:rPr>
          <w:b w:val="0"/>
          <w:i w:val="0"/>
          <w:sz w:val="22"/>
        </w:rPr>
        <w:t>说明：法律和制度会修订。出版前需逐条核对现行有效文本，并以单位制度为准。</w:t>
      </w:r>
    </w:p>
    <w:sectPr w:rsidR="00FC693F" w:rsidRPr="0006063C" w:rsidSect="00034616">
      <w:footerReference w:type="default" r:id="rId13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