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lineRule="exact" w:line="400" w:before="0" w:after="120"/>
        <w:ind w:firstLine="0"/>
        <w:jc w:val="center"/>
      </w:pPr>
      <w:r>
        <w:rPr>
          <w:rFonts w:ascii="Times New Roman" w:hAnsi="Times New Roman" w:eastAsia="黑体" w:cs="Times New Roman"/>
          <w:b/>
          <w:color w:val="000000"/>
          <w:sz w:val="32"/>
        </w:rPr>
        <w:t>项目2 从学期启动预算说起：收支规划与预算执行</w:t>
      </w:r>
    </w:p>
    <w:p>
      <w:pPr>
        <w:pStyle w:val="Heading2"/>
        <w:keepNext/>
        <w:spacing w:lineRule="exact" w:line="400" w:before="240" w:after="120"/>
        <w:ind w:firstLine="0"/>
      </w:pPr>
      <w:r>
        <w:rPr>
          <w:rFonts w:ascii="Times New Roman" w:hAnsi="Times New Roman" w:eastAsia="黑体" w:cs="Times New Roman"/>
          <w:b/>
          <w:color w:val="000000"/>
          <w:sz w:val="28"/>
        </w:rPr>
        <w:t>学习目标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本项目的学习目标分为知识、技能和素养三个方面。学完本项目，你应当能够说清楚收入和支出的区别，能用表格把一个学期或一个月的收支逐笔记录下来，能用预算与实际的对比找出差异，并能在大模型的帮助下分析超支原因，提出可以执行的调整建议。</w:t>
      </w:r>
    </w:p>
    <w:p>
      <w:pPr>
        <w:keepNext/>
        <w:spacing w:lineRule="exact" w:line="400" w:before="0" w:after="0"/>
        <w:ind w:firstLine="0"/>
        <w:jc w:val="center"/>
      </w:pPr>
      <w:r>
        <w:drawing>
          <wp:anchor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040000" cy="3127453"/>
            <wp:effectExtent l="0" t="0" r="0" b="0"/>
            <wp:wrapTopAndBottom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项目2_图2-1_学习目标思维导图_v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2745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lineRule="exact" w:line="400" w:before="60" w:after="60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图2-1 学习目标思维导图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知识目标：理解收入与支出、预算与实际、差异额与差异率等基本概念；知道常见的收支分类角度。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技能目标：能够设计收支流水表，能够计算差异额和差异率，能够使用大模型生成对比表并逐项核对数字，能够用价量分解解释超支原因。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素养目标：养成“先记录、后分析”的习惯；理解预算是约束也是沟通工具；在使用大模型时，始终由自己对数字和结论负责。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本项目承接项目4中的票据与报销。项目4 解决的是“一笔钱能不能报”，本项目解决的是“一个学期或一个月的钱，应该怎样规划、怎样记录、怎样对照”。项目4 中的票据，是本项目记账的原始依据；本项目中的收支记录，也将为后续的成本核算、数据汇总和经营分析提供基础。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本项目分为三个任务。任务2.1 学习收支的分类与流水表的设计；任务2.2 学习预算与实际的对比，并核对大模型生成的对比表；任务2.3 学习超支原因的分析与调整建议的提出。三个任务是递进关系：先能把收支记清楚，再能把预算和实际对照起来，最后能说清楚差异从哪里来、接下来该怎么办。</w:t>
      </w:r>
    </w:p>
    <w:p>
      <w:pPr>
        <w:pStyle w:val="Heading2"/>
        <w:keepNext/>
        <w:spacing w:lineRule="exact" w:line="400" w:before="240" w:after="120"/>
        <w:ind w:firstLine="0"/>
      </w:pPr>
      <w:r>
        <w:rPr>
          <w:rFonts w:ascii="Times New Roman" w:hAnsi="Times New Roman" w:eastAsia="黑体" w:cs="Times New Roman"/>
          <w:b/>
          <w:color w:val="000000"/>
          <w:sz w:val="28"/>
        </w:rPr>
        <w:t>任务2.1 用表格记录收支，并用AI完成分类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 w:cs="Times New Roman"/>
          <w:b/>
          <w:color w:val="000000"/>
          <w:sz w:val="24"/>
        </w:rPr>
        <w:t>导入：启动资金从哪里来，又花到哪里去</w:t>
      </w:r>
    </w:p>
    <w:p>
      <w:pPr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color w:val="000000"/>
          <w:sz w:val="24"/>
        </w:rPr>
        <w:t>校园线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星空读书会是学校的一个阅读社团。新学期开始时，社长李想想召集干部开会，决定由学院拨款、社员会费和一家书店的赞助组成启动资金，用于本学期的读书分享会、海报宣传和茶歇。会议结束时，财务干事小何拿到了一份手写的收支设想，上面写着“拨款一千二”“会费每人二十”“茶歇不能太省”。小何意识到，这些想法都有道理，但如果不把收入来源和支出用途分开记录，学期末就无法回答“钱到底花到哪里去了”。</w:t>
      </w:r>
    </w:p>
    <w:p>
      <w:pPr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color w:val="000000"/>
          <w:sz w:val="24"/>
        </w:rPr>
        <w:t>职业线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青禾文具是一家经营文具与办公用品批发、零售的小微企业，员工8人。每个月初，业务部、行政部和财务部都会提交本部门的开支计划。实习生孙悦被分配到业务部协助整理开支。她发现，部门提交的计划五花八门：有的写“交通费”，有的写“出差”，有的写“打车、高铁、住宿”。财务主管陈静告诉她：如果分类口径不统一，月底的汇总就没有意义，预算和实际也无法比较。</w:t>
      </w:r>
    </w:p>
    <w:p>
      <w:pPr>
        <w:keepNext/>
        <w:spacing w:lineRule="exact" w:line="400" w:before="0" w:after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4680000" cy="2612093"/>
            <wp:effectExtent l="0" t="0" r="0" b="0"/>
            <wp:wrapTopAndBottom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2-7_任务2.1导入场景_v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61209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lineRule="exact" w:line="400" w:before="60" w:after="60"/>
        <w:ind w:firstLine="0"/>
        <w:jc w:val="center"/>
      </w:pPr>
      <w:r>
        <w:rPr>
          <w:rFonts w:ascii="Times New Roman" w:hAnsi="Times New Roman" w:cs="Times New Roman" w:eastAsia="宋体"/>
          <w:b w:val="0"/>
          <w:color w:val="000000"/>
          <w:sz w:val="21"/>
        </w:rPr>
        <w:t>图2-2 星空读书会社员整理本学期的收支票据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 w:cs="Times New Roman"/>
          <w:b/>
          <w:color w:val="000000"/>
          <w:sz w:val="24"/>
        </w:rPr>
        <w:t>一、收入与支出：先分清两条线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收入是单位在一定期间内获得的资金流入，支出是资金的流出。两者看起来简单，但在实际记录中常常会混淆。例如，学院拨款是收入，但如果拨款是专门用于某个项目、并需要按要求报销的，它在使用时就是一种受限的资金；会员费是收入，但如果收了钱却还没有提供对应服务，就需要说明它的去向。把收入和支出分清，是后面一切分析的起点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对学生组织来说，收入通常包括学院拨款、成员会费、校外赞助和活动收入。对小微企业来说，收入主要是销售收入，还可能包括利息、政府补贴等。无论哪一类，记录时都要回答三个问题：钱从哪里来，什么时候到账，凭什么证明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支出的记录也要回答三个问题：钱用在了哪里，什么时候付出，凭什么证明。这三个问题分别对应项目4中学过的票据、业务依据和付款记录。只有三者相互印证，一笔支出才算记清楚。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 w:cs="Times New Roman"/>
          <w:b/>
          <w:color w:val="000000"/>
          <w:sz w:val="24"/>
        </w:rPr>
        <w:t>二、支出的分类：三种常用角度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同样一笔支出，可以从不同角度归类。常用的分类角度有三种。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第一种是按性质分类。固定支出是在一定期间内金额相对稳定的支出，例如场地租金、物业费和网络费；变动支出是随业务量变化的支出，例如印刷材料、茶歇和快递费；一次性支出是偶然发生、金额较大的支出，例如购买设备或一次性的活动道具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第二种是按部门分类。在公司中，交通差旅通常属于业务部，办公用品通常属于行政部，银行手续费通常属于财务部。按部门分类，便于明确责任。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第三种是按用途分类。在社团中，印刷、场地、道具、宣传、茶歇等，就是按用途划分的。按用途分类最直观，但需要注意同一用途可能跨越多个月份或多次采购，所以它通常需要与性质分类配合使用。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表2-1 列出了本项目使用的收支分类表。它不是唯一的标准，但在同一个学期或同一个月内，分类标准一经确定，就应当保持不变。</w:t>
      </w:r>
    </w:p>
    <w:p>
      <w:pPr>
        <w:keepNext/>
        <w:spacing w:lineRule="exact" w:line="400" w:before="120" w:after="0"/>
        <w:ind w:firstLine="480"/>
        <w:jc w:val="center"/>
      </w:pPr>
      <w:r>
        <w:rPr>
          <w:rFonts w:ascii="Times New Roman" w:hAnsi="Times New Roman" w:eastAsia="黑体" w:cs="Times New Roman"/>
          <w:b w:val="0"/>
          <w:color w:val="000000"/>
          <w:sz w:val="21"/>
        </w:rPr>
        <w:t>表2-1 收支分类表（本项目使用）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大类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中类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小类（示例）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分类角度</w:t>
            </w:r>
          </w:p>
        </w:tc>
      </w:tr>
      <w:tr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收入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财政或单位拨款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学院拨款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按来源</w:t>
            </w:r>
          </w:p>
        </w:tc>
      </w:tr>
      <w:tr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收入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成员缴纳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社员会费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按来源</w:t>
            </w:r>
          </w:p>
        </w:tc>
      </w:tr>
      <w:tr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收入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外部资金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校外赞助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按来源</w:t>
            </w:r>
          </w:p>
        </w:tc>
      </w:tr>
      <w:tr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支出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固定支出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场地租用、物业费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按性质</w:t>
            </w:r>
          </w:p>
        </w:tc>
      </w:tr>
      <w:tr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支出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变动支出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印刷材料、茶歇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按性质</w:t>
            </w:r>
          </w:p>
        </w:tc>
      </w:tr>
      <w:tr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支出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一次性支出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活动道具、设备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按性质</w:t>
            </w:r>
          </w:p>
        </w:tc>
      </w:tr>
      <w:tr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支出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按部门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业务部、行政部、财务部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按部门（职业线）</w:t>
            </w:r>
          </w:p>
        </w:tc>
      </w:tr>
    </w:tbl>
    <w:p>
      <w:pPr>
        <w:spacing w:lineRule="exact" w:line="400" w:before="0" w:after="0"/>
        <w:ind w:firstLine="0"/>
      </w:pPr>
    </w:p>
    <w:p>
      <w:pPr>
        <w:keepNext/>
        <w:spacing w:lineRule="exact" w:line="400" w:before="0" w:after="0"/>
        <w:ind w:firstLine="0"/>
        <w:jc w:val="center"/>
      </w:pPr>
      <w:r>
        <w:drawing>
          <wp:anchor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4680000" cy="2472453"/>
            <wp:effectExtent l="0" t="0" r="0" b="0"/>
            <wp:wrapTopAndBottom/>
            <wp:docPr id="2" name="Picture 2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项目2_图2-2_收支分类框架_v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47245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lineRule="exact" w:line="400" w:before="60" w:after="60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图2-3 收支分类框架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图2-3 把收入与支出的分类放在同一张图中。需要注意，图中的“变动支出”与“一次性支出”之间并不是互斥的：同一次采购既可能是变动支出，也可能因金额较大而被视为一次性支出。分类时应当先确定规则，再逐笔归类，而不是凭印象。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 w:cs="Times New Roman"/>
          <w:b/>
          <w:color w:val="000000"/>
          <w:sz w:val="24"/>
        </w:rPr>
        <w:t>三、用表格记录流水：字段设计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流水表是记账的基础工具。它的每一行对应一笔收入或支出，每一列对应一个需要记录的信息。一张好的流水表，至少应当包括日期、摘要、收入、支出、余额、类别、票据号和备注八个字段。其中，余额字段最容易被忽视，但它能让人随时看到账户里还剩多少钱，及早发现异常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表2-2 是星空读书会本学期前几笔流水的示例。</w:t>
      </w:r>
    </w:p>
    <w:p>
      <w:pPr>
        <w:keepNext/>
        <w:spacing w:lineRule="exact" w:line="400" w:before="120" w:after="0"/>
        <w:ind w:firstLine="480"/>
        <w:jc w:val="center"/>
      </w:pPr>
      <w:r>
        <w:rPr>
          <w:rFonts w:ascii="Times New Roman" w:hAnsi="Times New Roman" w:eastAsia="黑体" w:cs="Times New Roman"/>
          <w:b w:val="0"/>
          <w:color w:val="000000"/>
          <w:sz w:val="21"/>
        </w:rPr>
        <w:t>表2-2 星空读书会流水记录（示例，节选）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039"/>
        <w:gridCol w:w="1039"/>
        <w:gridCol w:w="1039"/>
        <w:gridCol w:w="1039"/>
        <w:gridCol w:w="1039"/>
        <w:gridCol w:w="1039"/>
        <w:gridCol w:w="1039"/>
        <w:gridCol w:w="1039"/>
      </w:tblGrid>
      <w:tr>
        <w:tc>
          <w:tcPr>
            <w:tcW w:type="dxa" w:w="1039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日期</w:t>
            </w:r>
          </w:p>
        </w:tc>
        <w:tc>
          <w:tcPr>
            <w:tcW w:type="dxa" w:w="1039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摘要</w:t>
            </w:r>
          </w:p>
        </w:tc>
        <w:tc>
          <w:tcPr>
            <w:tcW w:type="dxa" w:w="1039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收入（元）</w:t>
            </w:r>
          </w:p>
        </w:tc>
        <w:tc>
          <w:tcPr>
            <w:tcW w:type="dxa" w:w="1039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支出（元）</w:t>
            </w:r>
          </w:p>
        </w:tc>
        <w:tc>
          <w:tcPr>
            <w:tcW w:type="dxa" w:w="1039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余额（元）</w:t>
            </w:r>
          </w:p>
        </w:tc>
        <w:tc>
          <w:tcPr>
            <w:tcW w:type="dxa" w:w="1039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类别</w:t>
            </w:r>
          </w:p>
        </w:tc>
        <w:tc>
          <w:tcPr>
            <w:tcW w:type="dxa" w:w="1039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票据号</w:t>
            </w:r>
          </w:p>
        </w:tc>
        <w:tc>
          <w:tcPr>
            <w:tcW w:type="dxa" w:w="1039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备注</w:t>
            </w:r>
          </w:p>
        </w:tc>
      </w:tr>
      <w:tr>
        <w:tc>
          <w:tcPr>
            <w:tcW w:type="dxa" w:w="1039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2026-09-01</w:t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学院拨款到账</w:t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1200.00</w:t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1200.00</w:t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拨款</w:t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银行回单</w:t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学期启动资金</w:t>
            </w:r>
          </w:p>
        </w:tc>
      </w:tr>
      <w:tr>
        <w:tc>
          <w:tcPr>
            <w:tcW w:type="dxa" w:w="1039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2026-09-03</w:t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社员会费（第一批）</w:t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300.00</w:t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1500.00</w:t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会费</w:t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收款记录</w:t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15人，每人20元</w:t>
            </w:r>
          </w:p>
        </w:tc>
      </w:tr>
      <w:tr>
        <w:tc>
          <w:tcPr>
            <w:tcW w:type="dxa" w:w="1039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2026-09-05</w:t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印刷读书会宣传单</w:t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156.00</w:t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1344.00</w:t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印刷材料</w:t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发票（见原件）</w:t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300页×0.52元</w:t>
            </w:r>
          </w:p>
        </w:tc>
      </w:tr>
      <w:tr>
        <w:tc>
          <w:tcPr>
            <w:tcW w:type="dxa" w:w="1039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2026-09-08</w:t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场地租用定金</w:t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150.00</w:t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1194.00</w:t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场地租用</w:t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合同（见原件）</w:t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分两次付款</w:t>
            </w:r>
          </w:p>
        </w:tc>
      </w:tr>
      <w:tr>
        <w:tc>
          <w:tcPr>
            <w:tcW w:type="dxa" w:w="1039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2026-09-12</w:t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书店赞助到账</w:t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300.00</w:t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1494.00</w:t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赞助</w:t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银行回单</w:t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用于茶歇</w:t>
            </w:r>
          </w:p>
        </w:tc>
      </w:tr>
    </w:tbl>
    <w:p>
      <w:pPr>
        <w:spacing w:lineRule="exact" w:line="400" w:before="0" w:after="0"/>
        <w:ind w:firstLine="0"/>
      </w:pP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分类口径的选择，往往需要在“细”与“粗”之间权衡。以“印刷材料”为例：如果只设一个“印刷”类别，月底汇总很快，但无法区分宣传单和成绩单，将来分析时就缺少依据；如果按每一种印刷品单独设类，记录负担过重，而且多数类别的金额都很小。比较合理的做法，是按用途设置一级类别，再在摘要中写明印刷品的种类和数量。这样，既保证了汇总的效率，也保留了分析的空间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在表2-2 中，有两点值得注意。第一，每一笔支出都有票据号或合同编号，它们是支出的依据。第二，余额是按时间顺序逐笔计算的，如果某一行的余额算错，后面所有的余额都会错。因此，余额一栏应当用公式计算，而不是手工填写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在电子表格中，余额可以这样设置：第一行余额等于收入减去支出，之后每一行余额等于上一行余额加上本行收入，再减去本行支出。这样，只要一行的数据有误，后续余额就会出现异常，便于人工发现。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流水表与会计科目的对应。学校和企业的会计记录，通常以会计科目作为分类的最终依据。学生组织虽然不必套用正式的会计科目表，但可以把表2-1 中的类别与常见科目建立对应关系，例如“学院拨款”对应“收入”，“印刷材料”和“茶歇”对应“活动费用”，“场地租用”对应“场地费用”。这样做的好处是，将来如果需要向上级单位或审计人员说明账目，就可以很快找到对应关系，而不必重新整理。对应关系应当写在分类规则的说明中，并随流水表一起保存。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 w:cs="Times New Roman"/>
          <w:b/>
          <w:color w:val="000000"/>
          <w:sz w:val="24"/>
        </w:rPr>
        <w:t>四、实践：用大模型辅助分类，并核对分类结果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大模型可以帮助我们快速完成分类。例如，把一个月的摘要批量交给它，请它按照表2-1的规则给出类别。但是，大模型对摘要的理解可能与你不同，它也可能把相似的词归为同一类。因此，分类结果必须逐条核对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下面的提示词可以作为参考。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你是一名财务助理。请根据下列流水摘要，按照给定的分类表为每一笔记录标注类别。要求：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1.</w:t>
        <w:tab/>
        <w:t>只能使用分类表中的类别，不能自创新类别；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2.</w:t>
        <w:tab/>
        <w:t>如果摘要信息不足以判断，标注“需人工确认”，不要猜测；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3.</w:t>
        <w:tab/>
        <w:t>每一笔分类后，说明判断的依据（引用摘要中的关键词）。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分类表：（在此粘贴表2-1）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流水摘要：（在此粘贴流水摘要，删除个人信息）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在分类结果返回后，建议按照三步核对：第一步，检查类别是否在分类表中；第二步，检查关键词是否支持该类别，例如“茶歇”应归入茶歇，而不是办公用品；第三步，检查合计是否与流水一致。表2-3 是一次核对的记录。</w:t>
      </w:r>
    </w:p>
    <w:p>
      <w:pPr>
        <w:keepNext/>
        <w:spacing w:lineRule="exact" w:line="400" w:before="120" w:after="0"/>
        <w:ind w:firstLine="480"/>
        <w:jc w:val="center"/>
      </w:pPr>
      <w:r>
        <w:rPr>
          <w:rFonts w:ascii="Times New Roman" w:hAnsi="Times New Roman" w:eastAsia="黑体" w:cs="Times New Roman"/>
          <w:b w:val="0"/>
          <w:color w:val="000000"/>
          <w:sz w:val="21"/>
        </w:rPr>
        <w:t>表2-3 大模型分类结果的核对记录（示例）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摘要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大模型给出的类别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核对结论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依据或修改</w:t>
            </w:r>
          </w:p>
        </w:tc>
      </w:tr>
      <w:tr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购买打印纸和签字笔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办公用品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正确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摘要关键词与类别一致</w:t>
            </w:r>
          </w:p>
        </w:tc>
      </w:tr>
      <w:tr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海报设计费（外包）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印刷材料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更正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设计费不是印刷材料，应归入宣传海报</w:t>
            </w:r>
          </w:p>
        </w:tc>
      </w:tr>
      <w:tr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活动当天茶歇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茶歇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正确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摘要明确</w:t>
            </w:r>
          </w:p>
        </w:tc>
      </w:tr>
      <w:tr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场地押金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场地租用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需人工确认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押金可能需要单独列示，待查合同</w:t>
            </w:r>
          </w:p>
        </w:tc>
      </w:tr>
      <w:tr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一批彩色灯带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活动道具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正确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用于活动布置</w:t>
            </w:r>
          </w:p>
        </w:tc>
      </w:tr>
    </w:tbl>
    <w:p>
      <w:pPr>
        <w:spacing w:lineRule="exact" w:line="400" w:before="0" w:after="0"/>
        <w:ind w:firstLine="0"/>
      </w:pP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表2-3 说明，大模型在“设计费”与“印刷材料”之间出现了判断错误。这类错误并不少见：大模型依据的是词语的相似性，而不是业务的实际性质。另外，“押金”是否应当计入支出，取决于合同约定，大模型无法从摘要中判断，因此标注为“需人工确认”是正确的做法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在实际操作中，可以按照下面的步骤建立一张流水表。第一步，新建工作表，在第一行依次填写日期、摘要、收入、支出、余额、类别、票据号和备注八个字段，并冻结首行，便于滚动查看。第二步，把日期列设置为日期格式，把收入和支出列设置为数值格式并保留两位小数，这样可以避免“2026.9.5”和“2026-09-05”同时存在的情况。第三步，在余额列的第二行输入公式：上一行余额加上本行收入，再减去本行支出，然后向下填充。第四步，在类别列使用下拉列表，列表内容即表2-1 中的小类，这样可以减少拼写不一致造成的分类错误。第五步，在表格底部用求和函数分别计算收入合计与支出合计，并检查“期初余额加收入合计减支出合计”是否等于期末余额。第六步，每周用筛选功能查看“票据号为空”的记录，并逐一补充票据或说明原因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这六个步骤看似简单，却能解决大部分常见问题：日期混乱、余额错误、分类不统一、票据缺失。其中，第五步的平衡检查最为重要。它相当于一道自动核对，只要有一笔记录漏记或重复，平衡关系就会被打破，人可以立即发现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大模型在分类上的局限，还在于它不了解单位的特殊约定。例如，同一家书店既可能卖书，也可能提供场地，同一笔“书店付款”在不同的合同下，性质可能完全不同。因此，分类规则中应当写明特殊情况的处理办法，并把它们交给大模型作为输入，而不是期待它自己猜出来。对于拿不准的记录，宁可标注“需人工确认”，也不要让大模型做出看似确定的判断。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 w:cs="Times New Roman"/>
          <w:b/>
          <w:color w:val="000000"/>
          <w:sz w:val="24"/>
        </w:rPr>
        <w:t>五、回到案例</w:t>
      </w:r>
    </w:p>
    <w:p>
      <w:pPr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color w:val="000000"/>
          <w:sz w:val="24"/>
        </w:rPr>
        <w:t>回到校园线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小何按照表2-1 确定了分类规则，并用表2-2 的格式记录了本学期的流水。她用大模型完成了第一批流水的初步分类，然后按照表2-3 的三步法逐条核对，发现了“海报设计费”被误归为印刷材料的问题，并将其改为宣传海报。她还把“场地押金”单独列出，等待李想想确认合同条款。学期末，星空读书会的收支账目第一次做到了“每一笔都能找到依据”。</w:t>
      </w:r>
    </w:p>
    <w:p>
      <w:pPr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color w:val="000000"/>
          <w:sz w:val="24"/>
        </w:rPr>
        <w:t>回到职业线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孙悦按照陈静的要求，把业务部的开支计划统一为“交通差旅”“客户招待”“宣传物料”等口径，并为每一笔支出标注了票据号。陈静看后说：“分类口径统一了，后面的对比才有意义。”孙悦这才明白，分类不是一个技术问题，而是一个让不同部门能够说同一种语言的问题。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 w:cs="Times New Roman"/>
          <w:b/>
          <w:color w:val="000000"/>
          <w:sz w:val="24"/>
        </w:rPr>
        <w:t>六、常见误区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误区一：分类越细越好。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分类过细会增加记录负担，也会让人在录入时犹豫。一般来说，分类应当足以支持后续的预算对比和分析即可。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误区二：摘要写得越简单越好。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摘要过于简略，例如只写“费用”，会使得后来的人无法判断这笔钱的用途。摘要应当包括用途和对象，例如“印刷读书会宣传单300页”。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误区三：先记账，后补票据。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很多错误都来自于此：没有票据的支出被随意归类，等到需要核对时，只能依靠记忆。正确的做法是，每笔支出发生时就记下票据号或合同编号。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拓展】本任务的收支分类，可以进一步对应到会计科目。科目的名称因单位而异，但分类的逻辑相同：先区分收入还是支出，再区分支出的性质。学生组织不必照搬正式的会计科目表，但若希望将来与学院财务或审计人员对接，就需要建立一张“分类—科目”的对应表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以表2-1为例，对应关系可以这样设计：“学院拨款”“社员会费”“校外赞助”分别对应“拨款收入”“会费收入”“赞助收入”；“场地租用”“物业费”对应“场地及物业费用”；“印刷材料”“茶歇”对应“业务活动费用”。“活动道具”和“设备”则要看金额和使用期限：单价较高、使用期较长的设备，应当作为固定资产管理，这一点将在项目6中详细讨论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对应关系需要注意三点。第一，一个类别只能对应一个科目，否则同一笔支出在汇总时会被计入两处。第二，对应关系一旦确定，本学期内不应随意变动；如需调整，应说明原因并记录生效日期。第三，对应表本身也是资料，应当与流水表一起保存，便于他人复核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还需要区分“收入”与“经费拨入”。学院拨款若是专门用于某项活动，就应当视为有指定用途的资金，并在备注中写明用途与期限。学生组织中，这一点常被忽略：拨款被当作普通收入使用，到期末才发现其中一部分只能用于指定项目。因此，拨款的用途和期限，应当在流水表的备注栏中逐笔标明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2E6DB4"/>
          <w:left w:val="single" w:sz="12" w:space="0" w:color="2E6DB4"/>
          <w:bottom w:val="single" w:sz="12" w:space="0" w:color="2E6DB4"/>
          <w:right w:val="single" w:sz="12" w:space="0" w:color="2E6DB4"/>
        </w:tblBorders>
      </w:tblPr>
      <w:tblGrid>
        <w:gridCol w:w="8312"/>
      </w:tblGrid>
      <w:tr>
        <w:tc>
          <w:tcPr>
            <w:tcW w:type="dxa" w:w="8878"/>
            <w:shd w:val="clear" w:color="auto" w:fill="EAF1F8"/>
          </w:tcPr>
          <w:p>
            <w:pPr>
              <w:keepNext/>
              <w:spacing w:lineRule="exact" w:line="400" w:after="160" w:before="0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思政园地：分类是一种判断，AI的分类也是判断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【校园案例】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星空读书会的学院拨款和社员会费，在整理流水时被同一位同学归入了“其他收入”，导致学期收入统计混乱。小何重新核对原始凭证后，把拨款单独列为“拨入款”，会费归入“社员收入”，统计结果才与银行回单一致。 小何在整理表的说明中写道：“分类之前先问一句：这笔钱因为什么发生？答案决定它应当放在哪里。”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【职业案例】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青禾文具的财务助理小周用AI把“快递费”归入“办公费用”，理由是“都和物流有关”。财务主管陈静审阅时指出，快递费如果用于客户发货，应归入销售相关费用。分类依据不能只看词语是否相似，还要看业务实际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【AI情境】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提示词：把下列流水分为收入、支出两类，并按业务性质归类。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AI大模型回复：“快递费”归入办公费用。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分析：AI依据的是词语的相似性，没有问明这笔快递是用于内部办公，还是用于客户发货。分类结果可能影响利润口径和成本分析。改进的提示词应补充业务说明，例如“快递费用于客户发货，归入销售费用”，并要求AI说明分类依据。 这一案例中，AI的错误并不是随机的，而是来自“快递”和“物流”之间的词语联系。提示词补充业务说明后，结果才符合实际。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【讨论】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在分类时，怎样区分“看起来相似”和“实际相同”？你的分类依据是否经得起别人追问？ 如果分类结果会影响利润统计，你会要求AI提供哪些依据？ 请对同一组流水用两种分类标准分类，比较差异，并讨论哪一种标准更能服务于管理者的判断。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【点题】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分类看似只是把东西放进对应的格子，实际上每一次分类都是一次判断，它决定了钱被看作“做了什么事”。大模型能帮助我们快速分类，但判断的责任始终在人。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【践行】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我承诺：请AI完成分类时，我会同时要求它写出每一类的依据，并对存在争议的项目进行人工复核，不把“看起来对”当作“确实对”。 下次请AI分类时，要求其为每个存在争议的类别附上一句理由，并把争议项单独列出，等待人工确认。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【自检清单】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□ 每一笔流水是否都有明确的业务性质？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□ AI的分类依据是否经过人工核对？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□ 争议项目是否已经单独标注并确认？</w:t>
            </w:r>
          </w:p>
        </w:tc>
      </w:tr>
    </w:tbl>
    <w:p>
      <w:pPr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color w:val="000000"/>
          <w:sz w:val="24"/>
        </w:rPr>
        <w:t>【练习】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1.</w:t>
        <w:tab/>
        <w:t>找出你最近一个月的一批消费记录（删除个人信息），按照表2-1 的分类角度进行归类，并记录每一类的合计金额。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2.</w:t>
        <w:tab/>
        <w:t>用大模型对你的记录做一次分类，然后按照表2-3 的三步法核对，统计判断错误的数量，并分析错误的原因。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3.</w:t>
        <w:tab/>
        <w:t>为一个学生组织设计一张流水表，至少包括八个字段，并说明每个字段的作用。</w:t>
      </w:r>
    </w:p>
    <w:p>
      <w:pPr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color w:val="000000"/>
          <w:sz w:val="24"/>
        </w:rPr>
        <w:t>小结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本任务的重点，是把收入和支出分清楚，并用统一的分类口径和流水表把每一笔收支记下来。收入从来源分类，支出可以按性质、部门或用途分类，分类标准一经确定就应保持一致。流水表的余额要用公式计算，摘要要写清用途，每一笔支出都要能找到票据或合同作为依据。大模型可以帮助完成初步分类，但分类结果必须逐条核对，尤其要注意设计费、押金等容易被误判的情况。</w:t>
      </w:r>
    </w:p>
    <w:p>
      <w:pPr>
        <w:pStyle w:val="Heading2"/>
        <w:keepNext/>
        <w:spacing w:lineRule="exact" w:line="400" w:before="240" w:after="120"/>
        <w:ind w:firstLine="0"/>
      </w:pPr>
      <w:r>
        <w:rPr>
          <w:rFonts w:ascii="Times New Roman" w:hAnsi="Times New Roman" w:eastAsia="黑体" w:cs="Times New Roman"/>
          <w:b/>
          <w:color w:val="000000"/>
          <w:sz w:val="28"/>
        </w:rPr>
        <w:t>任务2.2 用AI生成预算与实际的对比表，并核对数字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 w:cs="Times New Roman"/>
          <w:b/>
          <w:color w:val="000000"/>
          <w:sz w:val="24"/>
        </w:rPr>
        <w:t>导入：预算写在纸上，差异藏在数字里</w:t>
      </w:r>
    </w:p>
    <w:p>
      <w:pPr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color w:val="000000"/>
          <w:sz w:val="24"/>
        </w:rPr>
        <w:t>校园线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学期中期，星空读书会召开例会。李想想希望看到“钱花得怎么样了”，但小何手里只有一本流水账，没有预算与实际的对比。她请大模型把预算表和流水汇总成一张对比表。大模型很快给出了结果，表格整齐，还附上了一句总结：“本学期支出基本控制在预算之内。”小何没有立刻相信，她注意到，表中的合计数与她自己加总的结果并不一致。</w:t>
      </w:r>
    </w:p>
    <w:p>
      <w:pPr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color w:val="000000"/>
          <w:sz w:val="24"/>
        </w:rPr>
        <w:t>职业线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青禾文具9月份的开支汇总完成后，财务主管陈静请孙悦用大模型生成一张“预算与实际对比表”，提交给公司总经理周明。孙悦照做了，大模型给出的表格看起来很专业，但陈静逐行核对时发现，宣传物料一行的差异额与预算数据对不上。她对孙悦说：“对比表的价值，在于每一个差异都经得起追问。表格好看不重要，数字对才重要。”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 w:cs="Times New Roman"/>
          <w:b/>
          <w:color w:val="000000"/>
          <w:sz w:val="24"/>
        </w:rPr>
        <w:t>一、预算的编制与执行闭环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预算是对未来一段时间收支的计划。它的作用不只是“限制花钱”，更是为了让不同的人对资金的安排达成共识。一份完整的预算，通常要说明收入从哪里来、支出用在什么地方、每一项的金额是如何估计的。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预算编制完成后，并不意味着工作结束。预算需要在执行中不断与实际发生的收支进行对照，发现差异后分析原因，再调整执行方式。这样，预算就形成了一个闭环。图2-4 展示了这一闭环的五个步骤。</w:t>
      </w:r>
    </w:p>
    <w:p>
      <w:pPr>
        <w:keepNext/>
        <w:spacing w:lineRule="exact" w:line="400" w:before="0" w:after="0"/>
        <w:ind w:firstLine="0"/>
        <w:jc w:val="center"/>
      </w:pPr>
      <w:r>
        <w:drawing>
          <wp:anchor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4680000" cy="2904063"/>
            <wp:effectExtent l="0" t="0" r="0" b="0"/>
            <wp:wrapTopAndBottom/>
            <wp:docPr id="3" name="Picture 3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项目2_图2-3_预算执行闭环_v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90406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lineRule="exact" w:line="400" w:before="60" w:after="60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图2-4 预算执行闭环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在闭环中，第一步和第二步是基础，第三步是对比，第四步和第五步是行动。很多单位的问题出在第三步之后：差异做出来了，却没有人分析，也没有人调整。预算于是变成了一份“年终才看一次”的文件。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 w:cs="Times New Roman"/>
          <w:b/>
          <w:color w:val="000000"/>
          <w:sz w:val="24"/>
        </w:rPr>
        <w:t>二、差异额与差异率的计算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对比预算与实际，最常用的两个指标是差异额和差异率。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差异额＝实际发生额－预算额。差异额为正，表示实际支出超过预算，通常称为超支；差异额为负，表示实际支出低于预算，通常称为节约。对于收入，含义正好相反：实际收入高于预算时，差异额为正，是有利差异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差异率＝差异额÷预算额×100%。差异率能够反映差异的相对大小。同样是超支500元，对一笔预算5000元的支出来说是10%，对一笔预算50000元的支出来说只有1%。因此，只看差异额，容易忽略“小金额、大比例”的情况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在计算时，要注意三点：第一，差异额和差异率的符号要统一，通常以“实际减预算”为准；第二，预算额为零时，差异率无法计算，应当标注“不适用”；第三，合计行的差异率应当用合计的差异额除以合计的预算额，而不是把各行的差异率直接相加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预算的编制方法也值得了解。常见的方法有三种。增量预算是在上一期的基础上，根据业务变化增加或减少一定比例，编制简单，但容易把不合理的支出“延续”下去。零基预算是每一期都从零开始，逐项论证每一笔支出的必要性，论证充分，但工作量较大。滚动预算是按固定周期（例如每月或每季度）向前延伸一个周期，随着执行情况不断调整，适合业务变化较快的单位。学生组织和小微企业一般采用增量预算加上局部的零基审视：对数额较大或争议较大的项目，要求说明理由；对常规项目，参考上一期的实际数据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无论采用哪一种方法，预算都应当满足三个条件：一是有依据，每一个数字都能说出来源；二是有责任人，每一项支出都能找到负责执行的人；三是可检查，预算的执行情况能够在一个固定的时间点被对照。缺少其中任何一个条件，预算就只能是一份愿望清单。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 w:cs="Times New Roman"/>
          <w:b/>
          <w:color w:val="000000"/>
          <w:sz w:val="24"/>
        </w:rPr>
        <w:t>三、对比表的设计：从校园线说起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一张好的对比表，至少应当包括项目、预算、实际、差异额、差异率和说明六列。说明一栏的作用，是把数字背后的原因简要写出来，让读者不必猜测。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表2-4 是星空读书会本学期支出的预算与实际对比表。</w:t>
      </w:r>
    </w:p>
    <w:p>
      <w:pPr>
        <w:keepNext/>
        <w:spacing w:lineRule="exact" w:line="400" w:before="120" w:after="0"/>
        <w:ind w:firstLine="480"/>
        <w:jc w:val="center"/>
      </w:pPr>
      <w:r>
        <w:rPr>
          <w:rFonts w:ascii="Times New Roman" w:hAnsi="Times New Roman" w:eastAsia="黑体" w:cs="Times New Roman"/>
          <w:b w:val="0"/>
          <w:color w:val="000000"/>
          <w:sz w:val="21"/>
        </w:rPr>
        <w:t>表2-4 星空读书会学期支出预算与实际对比（示例）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385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项目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预算（元）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实际（元）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差异额（元）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差异率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说明</w:t>
            </w:r>
          </w:p>
        </w:tc>
      </w:tr>
      <w:tr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印刷材料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468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+48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+11.4%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宣传单加印，单价略有上涨</w:t>
            </w:r>
          </w:p>
        </w:tc>
      </w:tr>
      <w:tr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场地租用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0.0%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按合同执行</w:t>
            </w:r>
          </w:p>
        </w:tc>
      </w:tr>
      <w:tr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活动道具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-70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-19.4%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部分道具改为借用</w:t>
            </w:r>
          </w:p>
        </w:tc>
      </w:tr>
      <w:tr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宣传海报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+30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+16.7%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增加一次海报设计与印刷</w:t>
            </w:r>
          </w:p>
        </w:tc>
      </w:tr>
      <w:tr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茶歇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520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+40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+8.3%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参加人数多于预期</w:t>
            </w:r>
          </w:p>
        </w:tc>
      </w:tr>
      <w:tr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其他备用金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-100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-100.0%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未动用</w:t>
            </w:r>
          </w:p>
        </w:tc>
      </w:tr>
      <w:tr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合计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1840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1788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-52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-2.8%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合计差异率用合计数计算</w:t>
            </w:r>
          </w:p>
        </w:tc>
      </w:tr>
    </w:tbl>
    <w:p>
      <w:pPr>
        <w:spacing w:lineRule="exact" w:line="400" w:before="0" w:after="0"/>
        <w:ind w:firstLine="0"/>
      </w:pP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表2-4 只列出了支出，收入部分也需要同样处理。学院拨款按时到账，差异为零；社员会费预算600元，按30人每人20元计算，实际收到540元，差异额为-60元，差异率为-10.0%，原因是有3名社员未按时缴费。校外赞助300元，与预算一致。收入合计预算2100元，实际2040元，差异额为-60元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结合收入与支出，可以算出学期结余：预算结余为2100－1840＝260元，实际结余为2040－1788＝252元。这说明，尽管支出总体节约了52元，但收入少收了60元，最终结余比预算少8元。这样的分析，比只说“支出控制得很好”更接近事实。</w:t>
      </w:r>
    </w:p>
    <w:p>
      <w:pPr>
        <w:keepNext/>
        <w:spacing w:lineRule="exact" w:line="400" w:before="0" w:after="0"/>
        <w:ind w:firstLine="0"/>
        <w:jc w:val="center"/>
      </w:pPr>
      <w:r>
        <w:drawing>
          <wp:anchor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040000" cy="2771553"/>
            <wp:effectExtent l="0" t="0" r="0" b="0"/>
            <wp:wrapTopAndBottom/>
            <wp:docPr id="4" name="Picture 4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项目2_图2-4_预算与实际对比_v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77155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lineRule="exact" w:line="400" w:before="60" w:after="60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图2-5 星空读书会支出：预算与实际对比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图2-5 用柱状图展示了同样的数据。柱状图的优点是一眼就能看出哪些项目超支、哪些节约。需要注意，图中的差异标注应当与表格一致，否则读者会对两者产生怀疑。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 w:cs="Times New Roman"/>
          <w:b/>
          <w:color w:val="000000"/>
          <w:sz w:val="24"/>
        </w:rPr>
        <w:t>四、实践：用AI生成对比表，再逐行核对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职业线的数据更能说明对比表的核对方法。表2-5 是青禾文具2026年9月的支出预算与实际对比，它是陈静确认过的数据。</w:t>
      </w:r>
    </w:p>
    <w:p>
      <w:pPr>
        <w:keepNext/>
        <w:spacing w:lineRule="exact" w:line="400" w:before="120" w:after="0"/>
        <w:ind w:firstLine="480"/>
        <w:jc w:val="center"/>
      </w:pPr>
      <w:r>
        <w:rPr>
          <w:rFonts w:ascii="Times New Roman" w:hAnsi="Times New Roman" w:eastAsia="黑体" w:cs="Times New Roman"/>
          <w:b w:val="0"/>
          <w:color w:val="000000"/>
          <w:sz w:val="21"/>
        </w:rPr>
        <w:t>表2-5 青禾文具2026年9月支出预算与实际对比（示例）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385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部门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费用项目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预算（元）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实际（元）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差异额（元）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差异率</w:t>
            </w:r>
          </w:p>
        </w:tc>
      </w:tr>
      <w:tr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业务部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交通差旅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3000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3560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+560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+18.7%</w:t>
            </w:r>
          </w:p>
        </w:tc>
      </w:tr>
      <w:tr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业务部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客户招待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2000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2480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+480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+24.0%</w:t>
            </w:r>
          </w:p>
        </w:tc>
      </w:tr>
      <w:tr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业务部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宣传物料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2400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2950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+550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+22.9%</w:t>
            </w:r>
          </w:p>
        </w:tc>
      </w:tr>
      <w:tr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行政部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办公用品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1500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1320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-180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-12.0%</w:t>
            </w:r>
          </w:p>
        </w:tc>
      </w:tr>
      <w:tr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行政部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水电与物业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2200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2240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+40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+1.8%</w:t>
            </w:r>
          </w:p>
        </w:tc>
      </w:tr>
      <w:tr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行政部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通讯费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600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580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-20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-3.3%</w:t>
            </w:r>
          </w:p>
        </w:tc>
      </w:tr>
      <w:tr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财务部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银行与税务服务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-40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-10.0%</w:t>
            </w:r>
          </w:p>
        </w:tc>
      </w:tr>
      <w:tr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合计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12100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13490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+1390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+11.5%</w:t>
            </w:r>
          </w:p>
        </w:tc>
      </w:tr>
    </w:tbl>
    <w:p>
      <w:pPr>
        <w:spacing w:lineRule="exact" w:line="400" w:before="0" w:after="0"/>
        <w:ind w:firstLine="0"/>
      </w:pP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大模型生成对比表时，可以使用下面的提示词。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你是一名财务分析助手。请根据下列预算表与实际支出表，生成一张预算与实际对比表。要求：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1.</w:t>
        <w:tab/>
        <w:t>列为：部门、费用项目、预算、实际、差异额、差异率；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2.</w:t>
        <w:tab/>
        <w:t>差异额＝实际－预算，差异率＝差异额÷预算，保留一位小数；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3.</w:t>
        <w:tab/>
        <w:t>合计行的差异率用合计差异额除以合计预算计算；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4.</w:t>
        <w:tab/>
        <w:t>如果某项数据缺失，标注“数据缺失”，不要推断。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预算表：（在此粘贴）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实际支出表：（在此粘贴）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生成之后，要按照三步核对。第一步，逐行重新计算差异额，检查是否与原始数据一致；第二步，检查合计行是否等于各行之和；第三步，检查差异率的计算口径。表2-6 是孙悦核对大模型输出的记录。</w:t>
      </w:r>
    </w:p>
    <w:p>
      <w:pPr>
        <w:keepNext/>
        <w:spacing w:lineRule="exact" w:line="400" w:before="120" w:after="0"/>
        <w:ind w:firstLine="480"/>
        <w:jc w:val="center"/>
      </w:pPr>
      <w:r>
        <w:rPr>
          <w:rFonts w:ascii="Times New Roman" w:hAnsi="Times New Roman" w:eastAsia="黑体" w:cs="Times New Roman"/>
          <w:b w:val="0"/>
          <w:color w:val="000000"/>
          <w:sz w:val="21"/>
        </w:rPr>
        <w:t>表2-6 大模型输出的核对记录（示例）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检查项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大模型输出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核对结果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结论与处理</w:t>
            </w:r>
          </w:p>
        </w:tc>
      </w:tr>
      <w:tr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宣传物料差异额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+450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+550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更正：2950－2400＝550</w:t>
            </w:r>
          </w:p>
        </w:tc>
      </w:tr>
      <w:tr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宣传物料差异率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+18.8%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+22.9%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更正：550÷2400＝22.9%</w:t>
            </w:r>
          </w:p>
        </w:tc>
      </w:tr>
      <w:tr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实际合计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13440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13490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更正：各行加总为13490</w:t>
            </w:r>
          </w:p>
        </w:tc>
      </w:tr>
      <w:tr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水电与物业差异率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+1.8%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+1.8%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无误：40÷2200＝1.8%</w:t>
            </w:r>
          </w:p>
        </w:tc>
      </w:tr>
    </w:tbl>
    <w:p>
      <w:pPr>
        <w:spacing w:lineRule="exact" w:line="400" w:before="0" w:after="0"/>
        <w:ind w:firstLine="0"/>
      </w:pP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表2-6 说明，大模型在一行数字上算错了差异额，并因此影响了差异率和合计。更值得注意的是，这些错误都以“看起来合理”的形式出现，如果不逐行核对，很容易被忽略。对比表中，每一个数字都需要能被重新算出来。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 w:cs="Times New Roman"/>
          <w:b/>
          <w:color w:val="000000"/>
          <w:sz w:val="24"/>
        </w:rPr>
        <w:t>五、回到案例</w:t>
      </w:r>
    </w:p>
    <w:p>
      <w:pPr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color w:val="000000"/>
          <w:sz w:val="24"/>
        </w:rPr>
        <w:t>回到校园线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小何没有相信大模型的总结，而是按照表2-4 的结构重新计算了每一项的差异额和差异率，并发现合计行与她的计算一致，但“本学期支出基本控制在预算之内”这句话掩盖了收入的少收。她在例会上说明：支出节约52元，但会费少收60元，结余比预算少8元。李想想听后决定，下学期的会费收取要提前提醒。</w:t>
      </w:r>
    </w:p>
    <w:p>
      <w:pPr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color w:val="000000"/>
          <w:sz w:val="24"/>
        </w:rPr>
        <w:t>回到职业线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孙悦更正了表2-6 中的四处错误，重新生成了对比表，并附上了每一行的计算过程。陈静看后问她：“你为什么要逐行算？”孙悦说：“因为大模型给出的合计是对的，但宣传物料一行是错的，我不能只相信合计。”陈静点了点头，又补充道：“这正是数字要能追问的原因。”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 w:cs="Times New Roman"/>
          <w:b/>
          <w:color w:val="000000"/>
          <w:sz w:val="24"/>
        </w:rPr>
        <w:t>六、常见误区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误区一：表格越整齐，数字越可靠。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整齐只说明格式规范，并不说明数字正确。核对数字是唯一可靠的方法。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误区二：只看合计，不看明细。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合计可能掩盖个别项目的大幅超支。例如，表2-5 的合计只超支1390元，但交通差旅和客户招待两项合计超支已超过1000元。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误区三：为了好看，修改数字。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有时候，大模型生成的对比表会与领导的期望不一致，于是有人想“调整”数字，让超支消失。这是不允许的。对比表的数字必须来自原始记录，如果原始记录有误，应当更正原始记录，并说明原因。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误区四：只和上期比，不和预算比。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上期的实际数据可以作为参考，但它本身也可能存在问题。预算才是事先确定的标准，只有与预算比较，才能发现计划与执行之间的真正差距。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拓展】变动预算与弹性预算，是对比预算时常用的进阶方法。以宣传物料为例：预算为400份，单价6元，预算金额2400元；实际发放472份，单价6.25元，实际金额2950元。如果只比较总额，差异为550元，无法说明原因。弹性预算的做法，是先把预算调整到实际业务量：472份乘以预算单价6元，得到2832元，称为弹性预算。这样，实际金额与弹性预算的差异118元，反映的是单价上涨的影响；弹性预算与原预算的差异432元，反映的是业务量增加的影响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弹性预算还有另一个用途，即在编制预算时考虑不同业务量下的费用水平。例如，宣传物料的制版费属于一次性支出，印量少时，单份成本较高；印量增加后，制版费被分摊到更多份数上，单份成本会下降。若在编制预算时只使用一个固定单价，实际印量变化时就会产生看似“超支”或“节约”的差异，而这些差异其实是业务量变化带来的正常结果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因此，预算表中可以把费用分为两类：与业务量成正比的变动费用，如物料、茶歇；与业务量关系不大的固定费用，如场地租金、网络费。对变动费用，按预算单位成本和预计业务量编制；对固定费用，直接按金额编制。执行时，先用实际业务量重新计算变动费用的弹性预算，再与实际发生额比较，就能把业务量的影响和执行效率的影响分开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需要注意，弹性预算不是为了“放松预算”。即使业务量增加后，弹性预算与实际相符，也仍需说明业务量为什么增加，即这次增加是否经过审批、是否与活动方案一致。弹性预算只回答“在这个业务量下，花费是否合理”，并不回答“这个业务量是否应该发生”。后一个问题，需要回到活动方案与审批记录中去判断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2E6DB4"/>
          <w:left w:val="single" w:sz="12" w:space="0" w:color="2E6DB4"/>
          <w:bottom w:val="single" w:sz="12" w:space="0" w:color="2E6DB4"/>
          <w:right w:val="single" w:sz="12" w:space="0" w:color="2E6DB4"/>
        </w:tblBorders>
      </w:tblPr>
      <w:tblGrid>
        <w:gridCol w:w="8312"/>
      </w:tblGrid>
      <w:tr>
        <w:tc>
          <w:tcPr>
            <w:tcW w:type="dxa" w:w="8878"/>
            <w:shd w:val="clear" w:color="auto" w:fill="EAF1F8"/>
          </w:tcPr>
          <w:p>
            <w:pPr>
              <w:keepNext/>
              <w:spacing w:lineRule="exact" w:line="400" w:after="160" w:before="0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思政园地：数字不能为了好看而改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【校园案例】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星空读书会的对比表显示印刷费超出预算，有组员提议把超支数字改回预算数字，理由是“下次再补回来”。小何坚持保留原始数字，并在表格下方写明超支的原因和后续的调整计划。大家最终接受了这个处理方式。 活动结束后，组员们发现，正是因为保留了原始的超支数字，他们才能在下一次采购时，把印刷量和单价控制得更好。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【职业案例】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青禾文具AI生成的对比表中，有一行“差异率”算错了。陈静看到后要求“直接改得好看一点”。小周没有改数字，而是先找出了公式出错的位置，再保留原始记录，并写下修改说明。 陈静在看完修改说明后说：“以后出数字，先给我看原始记录，再谈结论。”这句话后来被写进了部门的报表规范。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【AI情境】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提示词：根据预算和实际数据，生成对比表，差异=实际−预算，差异率=差异÷预算。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AI大模型回复：宣传物料：预算2400元，实际2950元，差异+550元，差异率+18.8%。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分析：差异额550元是正确的，但550÷2400约为22.9%，AI给出的18.8%是错的。这种错误最容易被人忽视，因为表格看起来很整齐。正确的处理方式是回到公式核对，修正差异率，并保留修改记录，而不是为了让结论“好看”而去改动原始数据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【讨论】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如果对比表的结论与领导的期望不一致，你会怎样做？数字“好看”与“真实”发生冲突时，应当以谁为准？ 如果修改数字能让报告更容易被接受，它会带来什么长期的风险？ 如果修改一个错误数字会改变表格的结论，你应当先报告错误还是先解释结论？请写出你的处理顺序并说明理由。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【点题】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预算和对比表的目的，是让人看清真实情况，而不是让人看到想看的情况。大模型生成的表格越整齐，越容易让人放松警惕。对结论有疑问时，应回到原始数据，而不是回到结论本身。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【践行】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我承诺：对AI生成的对比表，逐行核对公式和数字；发现错误时，只修正错误本身，并保留修改记录，不为了结论好看而改动原始数据。 下次修改任何已提交的表格前，先在旁边注明修改前的数字、修改后的数字和修改原因，并请他人复核。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【自检清单】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□ 差异额与差异率的公式是否都已核对？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□ 原始数据是否保持不变？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□ 修改之处是否都有说明和记录？</w:t>
            </w:r>
          </w:p>
        </w:tc>
      </w:tr>
    </w:tbl>
    <w:p>
      <w:pPr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color w:val="000000"/>
          <w:sz w:val="24"/>
        </w:rPr>
        <w:t>【练习】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1.</w:t>
        <w:tab/>
        <w:t>以你所在学生组织的一次活动为例，编制一份简单的预算，并在活动结束后记录实际支出，生成预算与实际对比表。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2.</w:t>
        <w:tab/>
        <w:t>用大模型为你的对比表生成一版文字说明，然后逐句核对其中的数字，统计错误的句子数量。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3.</w:t>
        <w:tab/>
        <w:t>为表2-5 中的数据计算每一行的差异额和差异率，并检查合计行是否正确。</w:t>
      </w:r>
    </w:p>
    <w:p>
      <w:pPr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color w:val="000000"/>
          <w:sz w:val="24"/>
        </w:rPr>
        <w:t>小结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本任务的重点，是把预算与实际放在一起对照。差异额和差异率是两个基本指标，前者反映绝对大小，后者反映相对大小，二者缺一不可。对比表的每一个数字都应当能被重新算出，合计不能掩盖明细中的大幅超支。大模型可以帮助生成对比表，但核对数字的责任始终在人。</w:t>
      </w:r>
    </w:p>
    <w:p>
      <w:pPr>
        <w:pStyle w:val="Heading2"/>
        <w:keepNext/>
        <w:spacing w:lineRule="exact" w:line="400" w:before="240" w:after="120"/>
        <w:ind w:firstLine="0"/>
      </w:pPr>
      <w:r>
        <w:rPr>
          <w:rFonts w:ascii="Times New Roman" w:hAnsi="Times New Roman" w:eastAsia="黑体" w:cs="Times New Roman"/>
          <w:b/>
          <w:color w:val="000000"/>
          <w:sz w:val="28"/>
        </w:rPr>
        <w:t>任务2.3 用AI找出超支原因，提出调整建议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 w:cs="Times New Roman"/>
          <w:b/>
          <w:color w:val="000000"/>
          <w:sz w:val="24"/>
        </w:rPr>
        <w:t>导入：超支了，然后呢</w:t>
      </w:r>
    </w:p>
    <w:p>
      <w:pPr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color w:val="000000"/>
          <w:sz w:val="24"/>
        </w:rPr>
        <w:t>校园线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星空读书会的印刷材料超支48元。李想想在例会上问：“为什么印刷又超了？”小何想到，大模型可以帮忙分析原因。她把预算、实际和流水交给大模型，大模型回答：“可能是印刷量增加，也可能是单价上涨，建议与印刷店核实。”小何意识到，这个回答是有用的，但还不够具体。要回答“为什么”，必须找出数量和单价各自的影响。</w:t>
      </w:r>
    </w:p>
    <w:p>
      <w:pPr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color w:val="000000"/>
          <w:sz w:val="24"/>
        </w:rPr>
        <w:t>职业线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青禾文具的宣传物料超支550元，超支率达到22.9%。周明看到对比表后，要求业务部在下次例会上说明原因，并提出调整方案。孙悦用大模型做了初步分析，大模型列出了五种可能原因，其中有两种是“市场活动增加”和“物料单价上涨”。陈静提醒她：“可能原因不等于真实原因。每一条都要找到证据。”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 w:cs="Times New Roman"/>
          <w:b/>
          <w:color w:val="000000"/>
          <w:sz w:val="24"/>
        </w:rPr>
        <w:t>一、超支原因的三个层次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分析超支原因，可以分为三个层次。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第一个层次是数量因素。实际使用的数量比预算多，例如印刷的页数增加、出差的次数增加、招待的人数增加。数量因素通常与业务活动直接相关，需要结合活动记录或审批单来判断。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第二个层次是价格因素。同样的数量，实际单价比预算高，例如供应商涨价、临时改用了更贵的材料、没有比价。价格因素通常可以通过报价单或采购记录来验证。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第三个层次是管理因素。例如，没有事先审批就发生支出、制度规定不清、预算编制时遗漏了某一项。管理因素往往是超支的深层原因，也是调整建议的重点。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三个层次不是互相排斥的。一笔超支可能同时包含数量和价格因素，也可能伴随管理上的漏洞。分析时，应当先用数据把数量和价格的影响分开，再结合证据讨论管理因素。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 w:cs="Times New Roman"/>
          <w:b/>
          <w:color w:val="000000"/>
          <w:sz w:val="24"/>
        </w:rPr>
        <w:t>二、价量分解：把超支拆成两部分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价量分解是一种简单而有效的分析方法。它把一项支出的差异拆分为数量影响和单价影响两部分，计算公式如下。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数量影响＝（实际数量－预算数量）×预算单价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单价影响＝（实际单价－预算单价）×实际数量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两者之和，等于总差异额。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以青禾文具的宣传物料为例。预算为400份，单价6元，预算额2400元；实际为472份，单价6.25元，实际额2950元。数量影响为（472－400）×6＝432元，单价影响为（6.25－6）×472＝118元，两者之和为550元，恰好等于总差异额。这说明，宣传物料的超支主要来自数量增加，单价上涨只占一小部分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图2-6 用瀑布图展示了这一分解过程。</w:t>
      </w:r>
    </w:p>
    <w:p>
      <w:pPr>
        <w:keepNext/>
        <w:spacing w:lineRule="exact" w:line="400" w:before="0" w:after="0"/>
        <w:ind w:firstLine="0"/>
        <w:jc w:val="center"/>
      </w:pPr>
      <w:r>
        <w:drawing>
          <wp:anchor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4680000" cy="2787508"/>
            <wp:effectExtent l="0" t="0" r="0" b="0"/>
            <wp:wrapTopAndBottom/>
            <wp:docPr id="5" name="Picture 5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项目2_图2-5_宣传物料价量分解_v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78750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lineRule="exact" w:line="400" w:before="60" w:after="60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图2-6 宣传物料支出的价量分解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星空读书会的印刷材料也可以用同样的方法分解。预算为300页、单价1.40元，预算额420元；实际为312页、单价1.50元，实际额468元。数量影响为（312－300）×1.40＝16.8元，单价影响为（1.50－1.40）×312＝31.2元，合计48元。与宣传物料不同，这里单价影响更大，说明印刷店的报价可能发生了变化，需要核实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表2-7 汇总了两个例子的分解结果。</w:t>
      </w:r>
    </w:p>
    <w:p>
      <w:pPr>
        <w:keepNext/>
        <w:spacing w:lineRule="exact" w:line="400" w:before="120" w:after="0"/>
        <w:ind w:firstLine="480"/>
        <w:jc w:val="center"/>
      </w:pPr>
      <w:r>
        <w:rPr>
          <w:rFonts w:ascii="Times New Roman" w:hAnsi="Times New Roman" w:eastAsia="黑体" w:cs="Times New Roman"/>
          <w:b w:val="0"/>
          <w:color w:val="000000"/>
          <w:sz w:val="21"/>
        </w:rPr>
        <w:t>表2-7 价量分解结果（示例）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385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项目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预算（量×单价）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实际（量×单价）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数量影响（元）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单价影响（元）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差异合计（元）</w:t>
            </w:r>
          </w:p>
        </w:tc>
      </w:tr>
      <w:tr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青禾文具·宣传物料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400×6.00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472×6.25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+432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+118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+550</w:t>
            </w:r>
          </w:p>
        </w:tc>
      </w:tr>
      <w:tr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星空读书会·印刷材料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300×1.40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312×1.50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+16.8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+31.2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+48</w:t>
            </w:r>
          </w:p>
        </w:tc>
      </w:tr>
    </w:tbl>
    <w:p>
      <w:pPr>
        <w:spacing w:lineRule="exact" w:line="400" w:before="0" w:after="0"/>
        <w:ind w:firstLine="0"/>
      </w:pP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 w:cs="Times New Roman"/>
          <w:b/>
          <w:color w:val="000000"/>
          <w:sz w:val="24"/>
        </w:rPr>
        <w:t>三、从原因到建议：建议必须具体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分析原因的目的，是提出调整建议。一条好的建议，应当具体、可以执行，并且有明确的责任人。“加强管理”“注意控制成本”这样的话，看似正确，却无法执行。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表2-8 列出了本次超支分析的原因、证据和建议。其中，“可能原因”一栏是需要证据验证的假设，而不是结论。</w:t>
      </w:r>
    </w:p>
    <w:p>
      <w:pPr>
        <w:keepNext/>
        <w:spacing w:lineRule="exact" w:line="400" w:before="120" w:after="0"/>
        <w:ind w:firstLine="480"/>
        <w:jc w:val="center"/>
      </w:pPr>
      <w:r>
        <w:rPr>
          <w:rFonts w:ascii="Times New Roman" w:hAnsi="Times New Roman" w:eastAsia="黑体" w:cs="Times New Roman"/>
          <w:b w:val="0"/>
          <w:color w:val="000000"/>
          <w:sz w:val="21"/>
        </w:rPr>
        <w:t>表2-8 超支原因与调整建议（示例）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385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超支项目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差异（元）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可能原因（待验证）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需要的证据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调整建议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责任人</w:t>
            </w:r>
          </w:p>
        </w:tc>
      </w:tr>
      <w:tr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宣传物料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+550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加印72份；单价上涨0.25元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加印记录、两家以上报价单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印量超过预算时须先审批；采购前至少比较两家报价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业务部负责人审批，陈静复核</w:t>
            </w:r>
          </w:p>
        </w:tc>
      </w:tr>
      <w:tr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交通差旅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+560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出差次数或票据增多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出差申请单、票据明细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出差前须审批；设定月度交通费上限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周明审批</w:t>
            </w:r>
          </w:p>
        </w:tc>
      </w:tr>
      <w:tr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客户招待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+480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招待人数或标准超出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招待审批单、餐饮票据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招待标准写入制度；超标须总经理审批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周明</w:t>
            </w:r>
          </w:p>
        </w:tc>
      </w:tr>
      <w:tr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印刷材料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+48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单价上涨0.10元（1.40元→1.50元）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印刷店报价单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固定一家印刷店，每学期比价一次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小何，李想想确认</w:t>
            </w:r>
          </w:p>
        </w:tc>
      </w:tr>
    </w:tbl>
    <w:p>
      <w:pPr>
        <w:spacing w:lineRule="exact" w:line="400" w:before="0" w:after="0"/>
        <w:ind w:firstLine="0"/>
      </w:pP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表2-8 中的建议，都能在本单位的制度框架内执行，而且每一条都对应一种证据。这样，调整就不再是一句空话，而是一项可以检查的工作。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调整建议提出之后，还需要跟踪落实。一种简单可行的做法，是建立一张调整事项跟踪表，记录每一条建议的内容、责任人、完成时限和完成情况。对于星空读书会，可以在下学期的第一次例会上检查“固定印刷店”和“印量超预算须先审批”两项是否已经执行；对于青禾文具，可以在下月的开支汇总中检查宣传物料的印量是否控制在预算之内，以及交通差旅是否有事先审批的记录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跟踪的结果也应当回到数据中检验。如果调整之后，宣传物料的单价仍然超过预算，说明“比价”的措施没有真正落地，需要进一步分析；如果印量下降，但单价不变，说明数量控制有效，而价格问题依然存在。通过这样的反复检查，预算管理才能从“算账”变成“管事”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需要说明的是，这种两因素分解是一种近似的处理方法。当数量和单价同时变化时，二者会产生一个“交叉影响”，即（实际数量－预算数量）×（实际单价－预算单价）。上面的做法，把这部分交叉影响全部归入了单价影响。本项目的两个例子中，交叉影响分别为72×0.25＝18元和12×0.1＝1.2元，数值较小，不影响判断。如果交叉影响较大，就需要在分析说明中注明分解的口径，或者采用三因素的分解方法。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 w:cs="Times New Roman"/>
          <w:b/>
          <w:color w:val="000000"/>
          <w:sz w:val="24"/>
        </w:rPr>
        <w:t>四、实践：用AI生成原因分析草稿，并用证据检验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大模型适合做两件事：列出可能的原因，以及把分析写成规范的文字。但它不能替代证据，也不应当被要求“证明”某个原因成立。因此，提示词中应当加入证据约束和拒答约束。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你是一名财务分析助手。请根据下列预算、实际和流水信息，分析某一项超支的可能原因。要求：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1.</w:t>
        <w:tab/>
        <w:t>每一个原因必须注明需要验证的证据（如审批单、报价单、票据）；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2.</w:t>
        <w:tab/>
        <w:t>不得把可能原因写成确定结论；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3.</w:t>
        <w:tab/>
        <w:t>如果信息不足以判断，写“材料中未提供”，不要推断；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4.</w:t>
        <w:tab/>
        <w:t>提出的调整建议必须具体，并注明责任人。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预算与实际信息：（在此粘贴）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流水摘要：（在此粘贴，删除个人信息）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大模型返回的草稿，需要按照以下步骤处理。第一步，把每一条可能原因与证据清单对照，能找到证据的保留，找不到的标注为待验证。第二步，用价量分解检验数量和单价的判断是否与数据一致。第三步，把保留下来的原因整理为表2-8 的格式，并请责任人确认。第四步，形成正式的分析说明，由审核人签字。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在这个过程中，大模型的作用是提高整理的效率，而判断的责任始终属于人。尤其是“是否超支”“是否应当追责”这样的问题，必须由有权限的人作出决定。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证据清单的设计，可以参考下面的思路。对于每一类超支，列出三种证据：一是业务记录，例如活动计划、出差申请、采购申请；二是价格记录，例如报价单、合同、价目表；三是审批记录，例如预算调整申请、超预算审批单。证据清单的作用，是把“我觉得”变成“我有依据”。如果某一类证据缺失，原因分析就只能停留在假设层面，应当在报告中明确标注。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 w:cs="Times New Roman"/>
          <w:b/>
          <w:color w:val="000000"/>
          <w:sz w:val="24"/>
        </w:rPr>
        <w:t>五、回到案例</w:t>
      </w:r>
    </w:p>
    <w:p>
      <w:pPr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color w:val="000000"/>
          <w:sz w:val="24"/>
        </w:rPr>
        <w:t>回到校园线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小何按照价量分解的方法，把印刷材料的超支拆成了数量影响16.8元和单价影响31.2元。她发现，单价上涨是主要原因，于是找到印刷店的报价单，确认了单价确实由1.40元涨到了1.50元。她在例会上提出了调整建议：固定一家印刷店，每学期比价一次，并把印量超预算的审批写入活动流程。李想想同意了这一建议。</w:t>
      </w:r>
    </w:p>
    <w:p>
      <w:pPr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color w:val="000000"/>
          <w:sz w:val="24"/>
        </w:rPr>
        <w:t>回到职业线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孙悦用价量分解法计算了宣传物料的差异，发现超支的主要原因是加印72份，而不是单价。她还核对了加印记录，发现其中有一次加印没有经过审批。周明在例会上听取了分析，要求业务部在下月起，印量超出预算时须先经业务部负责人审批。陈静补充说，这次超支的分析，关键在于每一条原因都找到了证据。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 w:cs="Times New Roman"/>
          <w:b/>
          <w:color w:val="000000"/>
          <w:sz w:val="24"/>
        </w:rPr>
        <w:t>六、常见误区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误区一：大模型列出的原因越多，分析就越全面。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原因多不等于原因对。每一条原因都需要证据，没有证据的原因，只能作为待验证的线索。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误区二：超支一定是某个人的责任。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超支可能来自市场变化、计划不周或制度缺失。把超支归咎于某个人，既不公平，也不能真正解决问题。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误区三：调整建议写得越宽泛越稳妥。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宽泛的建议无法执行，也无法检查。好的建议应当说明做什么、谁来做、什么时候做、怎样检查。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拓展】价量分解的结果，与计算的顺序有关。在本项目中，我们先用“数量差乘以预算单价”计算数量影响，再用“单价差乘以实际数量”计算单价影响。如果改用另一顺序，即先算单价影响，用预算数量乘以单价差，再算数量影响，用实际单价乘以数量差，结果是：单价影响100元，数量影响450元，合计仍为550元。两种顺序的结论不同，但总额相同。因此，报告中应当说明采用的顺序，并保持一致，以便他人复核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在实际工作中，两种顺序的差异通常不大；但当数量和单价同时变化幅度较大时，差异会变得明显。此时，比较稳妥的做法是采用三因素分解，把交叉影响单独列出。仍以宣传物料为例：数量影响为（472－400）×6＝432元，单价影响为（6.25－6）×400＝100元，交叉影响为（472－400）×（6.25－6）＝18元，三者合计550元。与两因素分解相比，只是把交叉影响的18元单独列出，总额不变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这说明，分解方法本身是一种假设：它假设某一个因素先变化，另一个因素后变化。分析者应当把这一假设写清楚，并说明它是否影响结论。如果交叉影响占总差异的比例很小，结论可以放心使用；如果比例较大，就应当同时报告两种分解的结果，避免因计算顺序不同而得出相反的判断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价量分解只说明数量与单价各自的贡献，并不能证明原因。单价上涨可能是供应商调价，也可能是临时改用了更贵的规格：前者可以通过报价单验证，后者可以通过采购记录验证。分解的作用是缩小需要查证的范围，而查证本身仍需依靠证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2E6DB4"/>
          <w:left w:val="single" w:sz="12" w:space="0" w:color="2E6DB4"/>
          <w:bottom w:val="single" w:sz="12" w:space="0" w:color="2E6DB4"/>
          <w:right w:val="single" w:sz="12" w:space="0" w:color="2E6DB4"/>
        </w:tblBorders>
      </w:tblPr>
      <w:tblGrid>
        <w:gridCol w:w="8312"/>
      </w:tblGrid>
      <w:tr>
        <w:tc>
          <w:tcPr>
            <w:tcW w:type="dxa" w:w="8878"/>
            <w:shd w:val="clear" w:color="auto" w:fill="EAF1F8"/>
          </w:tcPr>
          <w:p>
            <w:pPr>
              <w:keepNext/>
              <w:spacing w:lineRule="exact" w:line="400" w:after="160" w:before="0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思政园地：找原因不是找替罪羊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【校园案例】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星空读书会的活动费超支后，有人立刻指责负责采购的同学。小何没有附和，而是查看了报名记录和价格单，发现主要原因是临时增加了参加人数，同时印刷价格也有上涨。负责采购的同学因此得到了公正的评价。 此后，读书社把活动费的审批流程写得更加清楚：人数变化要及时报告，价格变化要有报价单，责任判断要依据流程和记录。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【职业案例】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青禾文具9月超支1390元。AI初步给出的原因是“销售人员控制不严”，建议追责。陈静没有直接采纳，而是要求小周逐项找出证据。核对后发现，超支主要来自采购单价上涨和销量增加，责任判断需要依据制度，而不是依据AI的猜测。 陈静把这次经验写进了月度复盘模板：每一条超支原因，都要注明证据来源；无法找到证据的，标注为“待验证”，而不是直接归咎于某人。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【AI情境】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提示词：请分析超支原因，并指出责任人。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AI大模型回复：主要原因是销售人员控制不严，建议对相关人员追责。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分析：AI在没有证据时就给出了责任人，结论先于证据出现。它无法判断谁应当承担责任，也不了解制度和具体情形。改进的提示词应当是：“请列出可以用数据验证的原因，每条注明数据依据，不要判断责任。”责任判断应由管理者依据制度作出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【讨论】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超支既可能来自个人疏忽，也可能来自制度缺失或市场变化。你认为怎样才能找到真正的原因？ 在团队中，如何既不推卸责任，也不随意指责他人？ 请找一次超支的原因，分别列出可控因素与外部因素，并讨论如果只归咎于个人，会对团队的后续工作产生什么影响。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【点题】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找到真正的原因，比找到一个人来承担责任，更有助于组织的长期发展。负责任的分析应当先看数据，再看证据，最后看制度。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【践行】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我承诺：请AI分析原因时，要求它先列出数据依据，再区分可控因素与外部因素，并把责任判断留给有权限的人，不让AI的猜测代替事实。 下次分析超支原因时，先列出三条数据依据，再写出一条制度层面的改进建议，不急于给任何人下结论。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【自检清单】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□ 每一条原因是否都有数据或凭证支持？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□ 是否区分了可控因素与外部因素？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□ 责任判断是否依据制度，而不是依据猜测？</w:t>
            </w:r>
          </w:p>
        </w:tc>
      </w:tr>
    </w:tbl>
    <w:p>
      <w:pPr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color w:val="000000"/>
          <w:sz w:val="24"/>
        </w:rPr>
        <w:t>【练习】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1.</w:t>
        <w:tab/>
        <w:t>找一笔你所在组织的超支项目，用价量分解方法计算数量影响和单价影响，并说明哪一个因素更重要。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2.</w:t>
        <w:tab/>
        <w:t>按照表2-8 的格式，为该超支项目写一份调整建议，要求每一条建议都能对应一种证据，并注明责任人。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3.</w:t>
        <w:tab/>
        <w:t>用大模型生成一份原因分析草稿，统计其中有证据支持的原因和没有证据的原因各有多少，并说明你如何处理没有证据的原因。</w:t>
      </w:r>
    </w:p>
    <w:p>
      <w:pPr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color w:val="000000"/>
          <w:sz w:val="24"/>
        </w:rPr>
        <w:t>小结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本任务的重点，是把超支的原因分层分析，并用价量分解把数量和单价的影响分开。大模型可以帮助列出可能原因和整理分析文字，但每一条原因都要有证据，每一条建议都要有责任人。分析的目的是改进管理，而不是寻找替罪羊。</w:t>
      </w:r>
    </w:p>
    <w:p>
      <w:pPr>
        <w:pStyle w:val="Heading2"/>
        <w:keepNext/>
        <w:spacing w:lineRule="exact" w:line="400" w:before="240" w:after="120"/>
        <w:ind w:firstLine="0"/>
      </w:pPr>
      <w:r>
        <w:rPr>
          <w:rFonts w:ascii="Times New Roman" w:hAnsi="Times New Roman" w:eastAsia="黑体" w:cs="Times New Roman"/>
          <w:b/>
          <w:color w:val="000000"/>
          <w:sz w:val="28"/>
        </w:rPr>
        <w:t>项目总结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图2-7 以知识图谱归纳本项目的主要概念与关系。</w:t>
      </w:r>
    </w:p>
    <w:p>
      <w:pPr>
        <w:keepNext/>
        <w:spacing w:lineRule="exact" w:line="400" w:before="0" w:after="0"/>
        <w:ind w:firstLine="0"/>
        <w:jc w:val="center"/>
      </w:pPr>
      <w:r>
        <w:drawing>
          <wp:anchor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040000" cy="3127453"/>
            <wp:effectExtent l="0" t="0" r="0" b="0"/>
            <wp:wrapTopAndBottom/>
            <wp:docPr id="6" name="Picture 6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项目2_图2-6_知识图谱_v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2745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lineRule="exact" w:line="400" w:before="60" w:after="60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图2-7 本项目知识图谱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本项目以“预算与收支”为主线，围绕“钱从哪里来、花到哪里去、与计划相差多少、差异从哪里来”四个问题，展开三个任务。任务2.1 解决“记清楚”的问题，学习收入与支出的区别、支出的分类角度和流水表的设计；任务2.2 解决“对得上”的问题，学习预算执行的闭环、差异额与差异率的计算，以及对比表的核对；任务2.3 解决“说得清”的问题，学习价量分解和超支原因的分析，并提出可以执行的调整建议。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三个任务是递进关系。没有准确的流水，就没有可靠的实际数据；没有可靠的实际数据，对比表就没有意义；没有对比表，超支原因就无从分析。在整个过程中，大模型可以帮助分类、计算、生成表格和整理文字，但每一个数字都要能被重新算出，每一条结论都要有证据支持，每一项调整都要有责任人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本项目的拓展部分介绍了权责发生制与收付实现制的区别。它不是本项目的必修内容，但它提醒我们：同样一笔钱，记在哪一个时点，会改变预算对比的结论。读者在完成综合练习时，可以思考：你所在组织的账目，是按哪一种口径记录的，这种口径是否与预算的编制口径一致。</w:t>
      </w:r>
    </w:p>
    <w:p>
      <w:pPr>
        <w:pStyle w:val="Heading2"/>
        <w:keepNext/>
        <w:spacing w:lineRule="exact" w:line="400" w:before="240" w:after="120"/>
        <w:ind w:firstLine="0"/>
      </w:pPr>
      <w:r>
        <w:rPr>
          <w:rFonts w:ascii="Times New Roman" w:hAnsi="Times New Roman" w:eastAsia="黑体" w:cs="Times New Roman"/>
          <w:b/>
          <w:color w:val="000000"/>
          <w:sz w:val="28"/>
        </w:rPr>
        <w:t>拓展：预算与会计记账的两种基础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前面的学习，主要站在“管理”的角度看收支。如果进一步深入，就会遇到一个会计上的基本问题：一笔收入或支出，应当在什么时候记录？对这个问题，会计上有两种基础，它们会直接影响预算与实际的对比结果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第一种是收付实现制，即以款项实际收到或付出的时间作为记录收入和支出的时间。星空读书会的账目基本采用这种方式：会费在收到时记为收入，印刷费在付款时记为支出。这种方式简单直观，与银行流水基本一致，适合学生组织和行政事业单位的日常收支管理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第二种是权责发生制，即以收入和费用的权利与义务是否发生作为记录时间，而不以款项收付为准。例如，一笔活动在九月举办，但对方要求十月付款，按照权责发生制，费用应当在九月确认；如果按收付实现制，则要等到十月付款时才记为支出。我国企业会计准则以权责发生制为基础（依据见本项目“法律与制度依据”第1条），因此企业的利润表反映的是某一期间的经营成果，而不仅是现金的进出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两种基础对预算对比的影响很大。如果预算是按收付实现制编制，而实际按权责发生制统计，两者就会出现“时间差”，表面的超支或节约可能只是支付时间的不同，而不是真正的业务变化。因此，在做预算与实际对比之前，应当先确认两者使用的是同一种口径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这一点对于职业线同样重要。青禾文具9月的宣传物料，如果在9月已经发生并取得发票，即使10月才付款，按权责发生制也应当记在9月。陈静在核对对比表时，特别检查了这一点：孙悦最初把一笔9月的印刷费记在了10月，导致9月的宣传物料少记了约300元。修正之后，宣传物料的超支额才与表2-5 的数据一致。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对于学生来说，不需要立即掌握完整的会计理论，但应当养成一个习惯：在做对比之前，先问一句“这笔钱是按什么时间记的”。这个习惯，既能避免时间差造成的误判，也为将来学习正式的会计课程打下基础。</w:t>
      </w:r>
    </w:p>
    <w:p>
      <w:pPr>
        <w:pStyle w:val="Heading2"/>
      </w:pPr>
      <w:r>
        <w:t xml:space="preserve">项目综合练习</w:t>
      </w:r>
    </w:p>
    <w:p>
      <w:r>
        <w:t xml:space="preserve">本练习以某高校读书社（示例）2026年10月的收支为材料。全部数据均为教学示例，已删除个人信息，学生无需自行收集材料，按下列要求完成即可。</w:t>
      </w:r>
    </w:p>
    <w:p>
      <w:pPr>
        <w:pStyle w:val="Heading3"/>
      </w:pPr>
      <w:r>
        <w:t xml:space="preserve">综合任务背景</w:t>
      </w:r>
    </w:p>
    <w:p>
      <w:r>
        <w:t xml:space="preserve">该读书社10月为活动月，期初余额为500元。社团的预算见表2-9，10月的流水见表2-10。流水尚未标注类别，需要学生按本项目的分类规则进行处理。</w:t>
      </w:r>
    </w:p>
    <w:p>
      <w:pPr>
        <w:keepNext/>
        <w:ind w:firstLine="0"/>
        <w:jc w:val="center"/>
      </w:pPr>
      <w:r>
        <w:rPr>
          <w:rFonts w:ascii="Times New Roman" w:hAnsi="Times New Roman" w:eastAsia="黑体" w:cs="Times New Roman"/>
          <w:sz w:val="21"/>
        </w:rPr>
        <w:t xml:space="preserve">表2-9 综合练习预算表（示例）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00"/>
        <w:gridCol w:w="2600"/>
        <w:gridCol w:w="1800"/>
        <w:gridCol w:w="2412"/>
      </w:tblGrid>
      <w:tr>
        <w:trPr>
          <w:tblHeader/>
        </w:trPr>
        <w:tc>
          <w:tcPr>
            <w:tcW w:type="dxa" w:w="1500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 xml:space="preserve">类别</w:t>
            </w:r>
          </w:p>
        </w:tc>
        <w:tc>
          <w:tcPr>
            <w:tcW w:type="dxa" w:w="2600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 xml:space="preserve">项目</w:t>
            </w:r>
          </w:p>
        </w:tc>
        <w:tc>
          <w:tcPr>
            <w:tcW w:type="dxa" w:w="1800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 xml:space="preserve">预算（元）</w:t>
            </w:r>
          </w:p>
        </w:tc>
        <w:tc>
          <w:tcPr>
            <w:tcW w:type="dxa" w:w="2412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 xml:space="preserve">说明</w:t>
            </w:r>
          </w:p>
        </w:tc>
      </w:tr>
      <w:tr>
        <w:tc>
          <w:tcPr>
            <w:tcW w:type="dxa" w:w="15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收入</w:t>
            </w:r>
          </w:p>
        </w:tc>
        <w:tc>
          <w:tcPr>
            <w:tcW w:type="dxa" w:w="26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学院拨款</w:t>
            </w:r>
          </w:p>
        </w:tc>
        <w:tc>
          <w:tcPr>
            <w:tcW w:type="dxa" w:w="18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800</w:t>
            </w:r>
          </w:p>
        </w:tc>
        <w:tc>
          <w:tcPr>
            <w:tcW w:type="dxa" w:w="24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—</w:t>
            </w:r>
          </w:p>
        </w:tc>
      </w:tr>
      <w:tr>
        <w:tc>
          <w:tcPr>
            <w:tcW w:type="dxa" w:w="15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收入</w:t>
            </w:r>
          </w:p>
        </w:tc>
        <w:tc>
          <w:tcPr>
            <w:tcW w:type="dxa" w:w="26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社员会费</w:t>
            </w:r>
          </w:p>
        </w:tc>
        <w:tc>
          <w:tcPr>
            <w:tcW w:type="dxa" w:w="18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300</w:t>
            </w:r>
          </w:p>
        </w:tc>
        <w:tc>
          <w:tcPr>
            <w:tcW w:type="dxa" w:w="24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15人×20元</w:t>
            </w:r>
          </w:p>
        </w:tc>
      </w:tr>
      <w:tr>
        <w:tc>
          <w:tcPr>
            <w:tcW w:type="dxa" w:w="15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收入</w:t>
            </w:r>
          </w:p>
        </w:tc>
        <w:tc>
          <w:tcPr>
            <w:tcW w:type="dxa" w:w="26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校外赞助</w:t>
            </w:r>
          </w:p>
        </w:tc>
        <w:tc>
          <w:tcPr>
            <w:tcW w:type="dxa" w:w="18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200</w:t>
            </w:r>
          </w:p>
        </w:tc>
        <w:tc>
          <w:tcPr>
            <w:tcW w:type="dxa" w:w="24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—</w:t>
            </w:r>
          </w:p>
        </w:tc>
      </w:tr>
      <w:tr>
        <w:tc>
          <w:tcPr>
            <w:tcW w:type="dxa" w:w="15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支出</w:t>
            </w:r>
          </w:p>
        </w:tc>
        <w:tc>
          <w:tcPr>
            <w:tcW w:type="dxa" w:w="26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印刷材料</w:t>
            </w:r>
          </w:p>
        </w:tc>
        <w:tc>
          <w:tcPr>
            <w:tcW w:type="dxa" w:w="18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360</w:t>
            </w:r>
          </w:p>
        </w:tc>
        <w:tc>
          <w:tcPr>
            <w:tcW w:type="dxa" w:w="24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300页×1.20元</w:t>
            </w:r>
          </w:p>
        </w:tc>
      </w:tr>
      <w:tr>
        <w:tc>
          <w:tcPr>
            <w:tcW w:type="dxa" w:w="15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支出</w:t>
            </w:r>
          </w:p>
        </w:tc>
        <w:tc>
          <w:tcPr>
            <w:tcW w:type="dxa" w:w="26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场地租用</w:t>
            </w:r>
          </w:p>
        </w:tc>
        <w:tc>
          <w:tcPr>
            <w:tcW w:type="dxa" w:w="18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200</w:t>
            </w:r>
          </w:p>
        </w:tc>
        <w:tc>
          <w:tcPr>
            <w:tcW w:type="dxa" w:w="24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—</w:t>
            </w:r>
          </w:p>
        </w:tc>
      </w:tr>
      <w:tr>
        <w:tc>
          <w:tcPr>
            <w:tcW w:type="dxa" w:w="15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支出</w:t>
            </w:r>
          </w:p>
        </w:tc>
        <w:tc>
          <w:tcPr>
            <w:tcW w:type="dxa" w:w="26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活动道具</w:t>
            </w:r>
          </w:p>
        </w:tc>
        <w:tc>
          <w:tcPr>
            <w:tcW w:type="dxa" w:w="18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260</w:t>
            </w:r>
          </w:p>
        </w:tc>
        <w:tc>
          <w:tcPr>
            <w:tcW w:type="dxa" w:w="24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—</w:t>
            </w:r>
          </w:p>
        </w:tc>
      </w:tr>
      <w:tr>
        <w:tc>
          <w:tcPr>
            <w:tcW w:type="dxa" w:w="15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支出</w:t>
            </w:r>
          </w:p>
        </w:tc>
        <w:tc>
          <w:tcPr>
            <w:tcW w:type="dxa" w:w="26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宣传海报</w:t>
            </w:r>
          </w:p>
        </w:tc>
        <w:tc>
          <w:tcPr>
            <w:tcW w:type="dxa" w:w="18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150</w:t>
            </w:r>
          </w:p>
        </w:tc>
        <w:tc>
          <w:tcPr>
            <w:tcW w:type="dxa" w:w="24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—</w:t>
            </w:r>
          </w:p>
        </w:tc>
      </w:tr>
      <w:tr>
        <w:tc>
          <w:tcPr>
            <w:tcW w:type="dxa" w:w="15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支出</w:t>
            </w:r>
          </w:p>
        </w:tc>
        <w:tc>
          <w:tcPr>
            <w:tcW w:type="dxa" w:w="26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茶歇</w:t>
            </w:r>
          </w:p>
        </w:tc>
        <w:tc>
          <w:tcPr>
            <w:tcW w:type="dxa" w:w="18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300</w:t>
            </w:r>
          </w:p>
        </w:tc>
        <w:tc>
          <w:tcPr>
            <w:tcW w:type="dxa" w:w="24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—</w:t>
            </w:r>
          </w:p>
        </w:tc>
      </w:tr>
      <w:tr>
        <w:tc>
          <w:tcPr>
            <w:tcW w:type="dxa" w:w="15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支出</w:t>
            </w:r>
          </w:p>
        </w:tc>
        <w:tc>
          <w:tcPr>
            <w:tcW w:type="dxa" w:w="26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其他备用金</w:t>
            </w:r>
          </w:p>
        </w:tc>
        <w:tc>
          <w:tcPr>
            <w:tcW w:type="dxa" w:w="18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100</w:t>
            </w:r>
          </w:p>
        </w:tc>
        <w:tc>
          <w:tcPr>
            <w:tcW w:type="dxa" w:w="24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—</w:t>
            </w:r>
          </w:p>
        </w:tc>
      </w:tr>
    </w:tbl>
    <w:p>
      <w:pPr>
        <w:ind w:firstLine="0"/>
      </w:pPr>
    </w:p>
    <w:p>
      <w:pPr>
        <w:keepNext/>
        <w:ind w:firstLine="0"/>
        <w:jc w:val="center"/>
      </w:pPr>
      <w:r>
        <w:rPr>
          <w:rFonts w:ascii="Times New Roman" w:hAnsi="Times New Roman" w:eastAsia="黑体" w:cs="Times New Roman"/>
          <w:sz w:val="21"/>
        </w:rPr>
        <w:t xml:space="preserve">表2-10 综合练习流水（示例，未分类）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00"/>
        <w:gridCol w:w="2900"/>
        <w:gridCol w:w="1300"/>
        <w:gridCol w:w="1300"/>
        <w:gridCol w:w="1312"/>
      </w:tblGrid>
      <w:tr>
        <w:trPr>
          <w:tblHeader/>
        </w:trPr>
        <w:tc>
          <w:tcPr>
            <w:tcW w:type="dxa" w:w="1500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 xml:space="preserve">日期</w:t>
            </w:r>
          </w:p>
        </w:tc>
        <w:tc>
          <w:tcPr>
            <w:tcW w:type="dxa" w:w="2900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 xml:space="preserve">摘要</w:t>
            </w:r>
          </w:p>
        </w:tc>
        <w:tc>
          <w:tcPr>
            <w:tcW w:type="dxa" w:w="1300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 xml:space="preserve">收入（元）</w:t>
            </w:r>
          </w:p>
        </w:tc>
        <w:tc>
          <w:tcPr>
            <w:tcW w:type="dxa" w:w="1300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 xml:space="preserve">支出（元）</w:t>
            </w:r>
          </w:p>
        </w:tc>
        <w:tc>
          <w:tcPr>
            <w:tcW w:type="dxa" w:w="1312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 xml:space="preserve">备注</w:t>
            </w:r>
          </w:p>
        </w:tc>
      </w:tr>
      <w:tr>
        <w:tc>
          <w:tcPr>
            <w:tcW w:type="dxa" w:w="15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2026-10-01</w:t>
            </w:r>
          </w:p>
        </w:tc>
        <w:tc>
          <w:tcPr>
            <w:tcW w:type="dxa" w:w="29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学院拨款到账</w:t>
            </w:r>
          </w:p>
        </w:tc>
        <w:tc>
          <w:tcPr>
            <w:tcW w:type="dxa" w:w="13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800.00</w:t>
            </w:r>
          </w:p>
        </w:tc>
        <w:tc>
          <w:tcPr>
            <w:tcW w:type="dxa" w:w="13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/>
            </w:r>
          </w:p>
        </w:tc>
        <w:tc>
          <w:tcPr>
            <w:tcW w:type="dxa" w:w="13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银行回单</w:t>
            </w:r>
          </w:p>
        </w:tc>
      </w:tr>
      <w:tr>
        <w:tc>
          <w:tcPr>
            <w:tcW w:type="dxa" w:w="15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2026-10-02</w:t>
            </w:r>
          </w:p>
        </w:tc>
        <w:tc>
          <w:tcPr>
            <w:tcW w:type="dxa" w:w="29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印刷宣传单（第一批）</w:t>
            </w:r>
          </w:p>
        </w:tc>
        <w:tc>
          <w:tcPr>
            <w:tcW w:type="dxa" w:w="13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/>
            </w:r>
          </w:p>
        </w:tc>
        <w:tc>
          <w:tcPr>
            <w:tcW w:type="dxa" w:w="13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200.00</w:t>
            </w:r>
          </w:p>
        </w:tc>
        <w:tc>
          <w:tcPr>
            <w:tcW w:type="dxa" w:w="13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160页×1.25元，发票</w:t>
            </w:r>
          </w:p>
        </w:tc>
      </w:tr>
      <w:tr>
        <w:tc>
          <w:tcPr>
            <w:tcW w:type="dxa" w:w="15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2026-10-03</w:t>
            </w:r>
          </w:p>
        </w:tc>
        <w:tc>
          <w:tcPr>
            <w:tcW w:type="dxa" w:w="29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社员会费（第一批）</w:t>
            </w:r>
          </w:p>
        </w:tc>
        <w:tc>
          <w:tcPr>
            <w:tcW w:type="dxa" w:w="13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120.00</w:t>
            </w:r>
          </w:p>
        </w:tc>
        <w:tc>
          <w:tcPr>
            <w:tcW w:type="dxa" w:w="13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/>
            </w:r>
          </w:p>
        </w:tc>
        <w:tc>
          <w:tcPr>
            <w:tcW w:type="dxa" w:w="13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6人×20元</w:t>
            </w:r>
          </w:p>
        </w:tc>
      </w:tr>
      <w:tr>
        <w:tc>
          <w:tcPr>
            <w:tcW w:type="dxa" w:w="15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2026-10-04</w:t>
            </w:r>
          </w:p>
        </w:tc>
        <w:tc>
          <w:tcPr>
            <w:tcW w:type="dxa" w:w="29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场地租用</w:t>
            </w:r>
          </w:p>
        </w:tc>
        <w:tc>
          <w:tcPr>
            <w:tcW w:type="dxa" w:w="13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/>
            </w:r>
          </w:p>
        </w:tc>
        <w:tc>
          <w:tcPr>
            <w:tcW w:type="dxa" w:w="13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200.00</w:t>
            </w:r>
          </w:p>
        </w:tc>
        <w:tc>
          <w:tcPr>
            <w:tcW w:type="dxa" w:w="13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合同，整月</w:t>
            </w:r>
          </w:p>
        </w:tc>
      </w:tr>
      <w:tr>
        <w:tc>
          <w:tcPr>
            <w:tcW w:type="dxa" w:w="15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2026-10-06</w:t>
            </w:r>
          </w:p>
        </w:tc>
        <w:tc>
          <w:tcPr>
            <w:tcW w:type="dxa" w:w="29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活动道具（灯带）</w:t>
            </w:r>
          </w:p>
        </w:tc>
        <w:tc>
          <w:tcPr>
            <w:tcW w:type="dxa" w:w="13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/>
            </w:r>
          </w:p>
        </w:tc>
        <w:tc>
          <w:tcPr>
            <w:tcW w:type="dxa" w:w="13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120.00</w:t>
            </w:r>
          </w:p>
        </w:tc>
        <w:tc>
          <w:tcPr>
            <w:tcW w:type="dxa" w:w="13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发票</w:t>
            </w:r>
          </w:p>
        </w:tc>
      </w:tr>
      <w:tr>
        <w:tc>
          <w:tcPr>
            <w:tcW w:type="dxa" w:w="15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2026-10-07</w:t>
            </w:r>
          </w:p>
        </w:tc>
        <w:tc>
          <w:tcPr>
            <w:tcW w:type="dxa" w:w="29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校外赞助（第一批）</w:t>
            </w:r>
          </w:p>
        </w:tc>
        <w:tc>
          <w:tcPr>
            <w:tcW w:type="dxa" w:w="13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200.00</w:t>
            </w:r>
          </w:p>
        </w:tc>
        <w:tc>
          <w:tcPr>
            <w:tcW w:type="dxa" w:w="13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/>
            </w:r>
          </w:p>
        </w:tc>
        <w:tc>
          <w:tcPr>
            <w:tcW w:type="dxa" w:w="13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银行回单</w:t>
            </w:r>
          </w:p>
        </w:tc>
      </w:tr>
      <w:tr>
        <w:tc>
          <w:tcPr>
            <w:tcW w:type="dxa" w:w="15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2026-10-08</w:t>
            </w:r>
          </w:p>
        </w:tc>
        <w:tc>
          <w:tcPr>
            <w:tcW w:type="dxa" w:w="29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海报设计费（外包）</w:t>
            </w:r>
          </w:p>
        </w:tc>
        <w:tc>
          <w:tcPr>
            <w:tcW w:type="dxa" w:w="13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/>
            </w:r>
          </w:p>
        </w:tc>
        <w:tc>
          <w:tcPr>
            <w:tcW w:type="dxa" w:w="13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120.00</w:t>
            </w:r>
          </w:p>
        </w:tc>
        <w:tc>
          <w:tcPr>
            <w:tcW w:type="dxa" w:w="13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设计合同</w:t>
            </w:r>
          </w:p>
        </w:tc>
      </w:tr>
      <w:tr>
        <w:tc>
          <w:tcPr>
            <w:tcW w:type="dxa" w:w="15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2026-10-09</w:t>
            </w:r>
          </w:p>
        </w:tc>
        <w:tc>
          <w:tcPr>
            <w:tcW w:type="dxa" w:w="29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印刷宣传单（第二批）</w:t>
            </w:r>
          </w:p>
        </w:tc>
        <w:tc>
          <w:tcPr>
            <w:tcW w:type="dxa" w:w="13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/>
            </w:r>
          </w:p>
        </w:tc>
        <w:tc>
          <w:tcPr>
            <w:tcW w:type="dxa" w:w="13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150.00</w:t>
            </w:r>
          </w:p>
        </w:tc>
        <w:tc>
          <w:tcPr>
            <w:tcW w:type="dxa" w:w="13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120页×1.25元</w:t>
            </w:r>
          </w:p>
        </w:tc>
      </w:tr>
      <w:tr>
        <w:tc>
          <w:tcPr>
            <w:tcW w:type="dxa" w:w="15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2026-10-10</w:t>
            </w:r>
          </w:p>
        </w:tc>
        <w:tc>
          <w:tcPr>
            <w:tcW w:type="dxa" w:w="29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社员会费（第二批）</w:t>
            </w:r>
          </w:p>
        </w:tc>
        <w:tc>
          <w:tcPr>
            <w:tcW w:type="dxa" w:w="13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80.00</w:t>
            </w:r>
          </w:p>
        </w:tc>
        <w:tc>
          <w:tcPr>
            <w:tcW w:type="dxa" w:w="13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/>
            </w:r>
          </w:p>
        </w:tc>
        <w:tc>
          <w:tcPr>
            <w:tcW w:type="dxa" w:w="13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4人×20元</w:t>
            </w:r>
          </w:p>
        </w:tc>
      </w:tr>
      <w:tr>
        <w:tc>
          <w:tcPr>
            <w:tcW w:type="dxa" w:w="15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2026-10-12</w:t>
            </w:r>
          </w:p>
        </w:tc>
        <w:tc>
          <w:tcPr>
            <w:tcW w:type="dxa" w:w="29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活动道具（桌布）</w:t>
            </w:r>
          </w:p>
        </w:tc>
        <w:tc>
          <w:tcPr>
            <w:tcW w:type="dxa" w:w="13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/>
            </w:r>
          </w:p>
        </w:tc>
        <w:tc>
          <w:tcPr>
            <w:tcW w:type="dxa" w:w="13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60.00</w:t>
            </w:r>
          </w:p>
        </w:tc>
        <w:tc>
          <w:tcPr>
            <w:tcW w:type="dxa" w:w="13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发票</w:t>
            </w:r>
          </w:p>
        </w:tc>
      </w:tr>
      <w:tr>
        <w:tc>
          <w:tcPr>
            <w:tcW w:type="dxa" w:w="15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2026-10-13</w:t>
            </w:r>
          </w:p>
        </w:tc>
        <w:tc>
          <w:tcPr>
            <w:tcW w:type="dxa" w:w="29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周会茶歇</w:t>
            </w:r>
          </w:p>
        </w:tc>
        <w:tc>
          <w:tcPr>
            <w:tcW w:type="dxa" w:w="13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/>
            </w:r>
          </w:p>
        </w:tc>
        <w:tc>
          <w:tcPr>
            <w:tcW w:type="dxa" w:w="13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150.00</w:t>
            </w:r>
          </w:p>
        </w:tc>
        <w:tc>
          <w:tcPr>
            <w:tcW w:type="dxa" w:w="13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收据</w:t>
            </w:r>
          </w:p>
        </w:tc>
      </w:tr>
      <w:tr>
        <w:tc>
          <w:tcPr>
            <w:tcW w:type="dxa" w:w="15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2026-10-15</w:t>
            </w:r>
          </w:p>
        </w:tc>
        <w:tc>
          <w:tcPr>
            <w:tcW w:type="dxa" w:w="29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海报印刷</w:t>
            </w:r>
          </w:p>
        </w:tc>
        <w:tc>
          <w:tcPr>
            <w:tcW w:type="dxa" w:w="13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/>
            </w:r>
          </w:p>
        </w:tc>
        <w:tc>
          <w:tcPr>
            <w:tcW w:type="dxa" w:w="13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90.00</w:t>
            </w:r>
          </w:p>
        </w:tc>
        <w:tc>
          <w:tcPr>
            <w:tcW w:type="dxa" w:w="13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发票</w:t>
            </w:r>
          </w:p>
        </w:tc>
      </w:tr>
      <w:tr>
        <w:tc>
          <w:tcPr>
            <w:tcW w:type="dxa" w:w="15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2026-10-16</w:t>
            </w:r>
          </w:p>
        </w:tc>
        <w:tc>
          <w:tcPr>
            <w:tcW w:type="dxa" w:w="29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印刷宣传单（第三批）</w:t>
            </w:r>
          </w:p>
        </w:tc>
        <w:tc>
          <w:tcPr>
            <w:tcW w:type="dxa" w:w="13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/>
            </w:r>
          </w:p>
        </w:tc>
        <w:tc>
          <w:tcPr>
            <w:tcW w:type="dxa" w:w="13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75.00</w:t>
            </w:r>
          </w:p>
        </w:tc>
        <w:tc>
          <w:tcPr>
            <w:tcW w:type="dxa" w:w="13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60页×1.25元</w:t>
            </w:r>
          </w:p>
        </w:tc>
      </w:tr>
      <w:tr>
        <w:tc>
          <w:tcPr>
            <w:tcW w:type="dxa" w:w="15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2026-10-17</w:t>
            </w:r>
          </w:p>
        </w:tc>
        <w:tc>
          <w:tcPr>
            <w:tcW w:type="dxa" w:w="29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活动道具（音响线材）</w:t>
            </w:r>
          </w:p>
        </w:tc>
        <w:tc>
          <w:tcPr>
            <w:tcW w:type="dxa" w:w="13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/>
            </w:r>
          </w:p>
        </w:tc>
        <w:tc>
          <w:tcPr>
            <w:tcW w:type="dxa" w:w="13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30.00</w:t>
            </w:r>
          </w:p>
        </w:tc>
        <w:tc>
          <w:tcPr>
            <w:tcW w:type="dxa" w:w="13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发票</w:t>
            </w:r>
          </w:p>
        </w:tc>
      </w:tr>
      <w:tr>
        <w:tc>
          <w:tcPr>
            <w:tcW w:type="dxa" w:w="15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2026-10-18</w:t>
            </w:r>
          </w:p>
        </w:tc>
        <w:tc>
          <w:tcPr>
            <w:tcW w:type="dxa" w:w="29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活动当天茶歇（第一批）</w:t>
            </w:r>
          </w:p>
        </w:tc>
        <w:tc>
          <w:tcPr>
            <w:tcW w:type="dxa" w:w="13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/>
            </w:r>
          </w:p>
        </w:tc>
        <w:tc>
          <w:tcPr>
            <w:tcW w:type="dxa" w:w="13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120.00</w:t>
            </w:r>
          </w:p>
        </w:tc>
        <w:tc>
          <w:tcPr>
            <w:tcW w:type="dxa" w:w="13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收据</w:t>
            </w:r>
          </w:p>
        </w:tc>
      </w:tr>
      <w:tr>
        <w:tc>
          <w:tcPr>
            <w:tcW w:type="dxa" w:w="15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2026-10-19</w:t>
            </w:r>
          </w:p>
        </w:tc>
        <w:tc>
          <w:tcPr>
            <w:tcW w:type="dxa" w:w="29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社员会费（第三批）</w:t>
            </w:r>
          </w:p>
        </w:tc>
        <w:tc>
          <w:tcPr>
            <w:tcW w:type="dxa" w:w="13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40.00</w:t>
            </w:r>
          </w:p>
        </w:tc>
        <w:tc>
          <w:tcPr>
            <w:tcW w:type="dxa" w:w="13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/>
            </w:r>
          </w:p>
        </w:tc>
        <w:tc>
          <w:tcPr>
            <w:tcW w:type="dxa" w:w="13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2人×20元</w:t>
            </w:r>
          </w:p>
        </w:tc>
      </w:tr>
      <w:tr>
        <w:tc>
          <w:tcPr>
            <w:tcW w:type="dxa" w:w="15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2026-10-20</w:t>
            </w:r>
          </w:p>
        </w:tc>
        <w:tc>
          <w:tcPr>
            <w:tcW w:type="dxa" w:w="29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校外赞助（第二批）</w:t>
            </w:r>
          </w:p>
        </w:tc>
        <w:tc>
          <w:tcPr>
            <w:tcW w:type="dxa" w:w="13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100.00</w:t>
            </w:r>
          </w:p>
        </w:tc>
        <w:tc>
          <w:tcPr>
            <w:tcW w:type="dxa" w:w="13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/>
            </w:r>
          </w:p>
        </w:tc>
        <w:tc>
          <w:tcPr>
            <w:tcW w:type="dxa" w:w="13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银行回单</w:t>
            </w:r>
          </w:p>
        </w:tc>
      </w:tr>
      <w:tr>
        <w:tc>
          <w:tcPr>
            <w:tcW w:type="dxa" w:w="15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2026-10-22</w:t>
            </w:r>
          </w:p>
        </w:tc>
        <w:tc>
          <w:tcPr>
            <w:tcW w:type="dxa" w:w="29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活动道具（临时用品）</w:t>
            </w:r>
          </w:p>
        </w:tc>
        <w:tc>
          <w:tcPr>
            <w:tcW w:type="dxa" w:w="13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/>
            </w:r>
          </w:p>
        </w:tc>
        <w:tc>
          <w:tcPr>
            <w:tcW w:type="dxa" w:w="13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20.00</w:t>
            </w:r>
          </w:p>
        </w:tc>
        <w:tc>
          <w:tcPr>
            <w:tcW w:type="dxa" w:w="13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收据</w:t>
            </w:r>
          </w:p>
        </w:tc>
      </w:tr>
      <w:tr>
        <w:tc>
          <w:tcPr>
            <w:tcW w:type="dxa" w:w="15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2026-10-25</w:t>
            </w:r>
          </w:p>
        </w:tc>
        <w:tc>
          <w:tcPr>
            <w:tcW w:type="dxa" w:w="29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活动当天茶歇（第二批）</w:t>
            </w:r>
          </w:p>
        </w:tc>
        <w:tc>
          <w:tcPr>
            <w:tcW w:type="dxa" w:w="13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/>
            </w:r>
          </w:p>
        </w:tc>
        <w:tc>
          <w:tcPr>
            <w:tcW w:type="dxa" w:w="13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50.00</w:t>
            </w:r>
          </w:p>
        </w:tc>
        <w:tc>
          <w:tcPr>
            <w:tcW w:type="dxa" w:w="13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收据</w:t>
            </w:r>
          </w:p>
        </w:tc>
      </w:tr>
      <w:tr>
        <w:tc>
          <w:tcPr>
            <w:tcW w:type="dxa" w:w="15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2026-10-27</w:t>
            </w:r>
          </w:p>
        </w:tc>
        <w:tc>
          <w:tcPr>
            <w:tcW w:type="dxa" w:w="29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活动当天茶歇（第三批）</w:t>
            </w:r>
          </w:p>
        </w:tc>
        <w:tc>
          <w:tcPr>
            <w:tcW w:type="dxa" w:w="13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/>
            </w:r>
          </w:p>
        </w:tc>
        <w:tc>
          <w:tcPr>
            <w:tcW w:type="dxa" w:w="13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20.00</w:t>
            </w:r>
          </w:p>
        </w:tc>
        <w:tc>
          <w:tcPr>
            <w:tcW w:type="dxa" w:w="13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收据</w:t>
            </w:r>
          </w:p>
        </w:tc>
      </w:tr>
    </w:tbl>
    <w:p>
      <w:pPr>
        <w:ind w:firstLine="0"/>
      </w:pPr>
    </w:p>
    <w:p>
      <w:pPr>
        <w:pStyle w:val="Heading3"/>
      </w:pPr>
      <w:r>
        <w:t xml:space="preserve">任务要求</w:t>
      </w:r>
    </w:p>
    <w:p>
      <w:r>
        <w:t xml:space="preserve">1.整理流水（20分）：按表2-1的分类角度建立分类规则，为表2-10中的每一笔流水确定类别，并用表2-2的格式记录，计算每笔之后的余额（期初余额500元）。</w:t>
      </w:r>
    </w:p>
    <w:p>
      <w:r>
        <w:t xml:space="preserve">2.编制对比表（15分）：汇总实际发生额，生成预算与实际对比表（格式参照表2-4），并计算期末余额的预算值与实际值。</w:t>
      </w:r>
    </w:p>
    <w:p>
      <w:r>
        <w:t xml:space="preserve">3.核对AI结果（15分）：表2-11是某AI工具生成的对比表。请按照表2-6的方法逐行核对，记录所有更正之处（写明错误的数字与对应的正确值）。</w:t>
      </w:r>
    </w:p>
    <w:p>
      <w:r>
        <w:t xml:space="preserve">4.价量分解（15分）：以印刷材料为例，按照表2-7的格式计算数量影响与单价影响，形成分析说明。</w:t>
      </w:r>
    </w:p>
    <w:p>
      <w:r>
        <w:t xml:space="preserve">5.调整建议（15分）：从超支项目中选择至少三项，提出调整建议，并按照表2-8的格式注明证据和责任人。</w:t>
      </w:r>
    </w:p>
    <w:p>
      <w:r>
        <w:t xml:space="preserve">6.结余说明（10分）：说明期末余额的实际值与预算值为什么不同，并分别区分“收入差异”与“支出差异”的原因。</w:t>
      </w:r>
    </w:p>
    <w:p>
      <w:r>
        <w:t xml:space="preserve">7.反思（10分）：写一段不超过300字的反思，说明哪些判断由大模型完成，哪些由自己完成，以及你如何确认大模型结论的可靠性。</w:t>
      </w:r>
    </w:p>
    <w:p>
      <w:pPr>
        <w:keepNext/>
        <w:ind w:firstLine="0"/>
        <w:jc w:val="center"/>
      </w:pPr>
      <w:r>
        <w:rPr>
          <w:rFonts w:ascii="Times New Roman" w:hAnsi="Times New Roman" w:eastAsia="黑体" w:cs="Times New Roman"/>
          <w:sz w:val="21"/>
        </w:rPr>
        <w:t xml:space="preserve">表2-11 AI生成的对比表（待核对）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0"/>
        <w:gridCol w:w="1500"/>
        <w:gridCol w:w="1500"/>
        <w:gridCol w:w="1800"/>
        <w:gridCol w:w="1412"/>
      </w:tblGrid>
      <w:tr>
        <w:trPr>
          <w:tblHeader/>
        </w:trPr>
        <w:tc>
          <w:tcPr>
            <w:tcW w:type="dxa" w:w="2100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 xml:space="preserve">项目</w:t>
            </w:r>
          </w:p>
        </w:tc>
        <w:tc>
          <w:tcPr>
            <w:tcW w:type="dxa" w:w="1500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 xml:space="preserve">预算（元）</w:t>
            </w:r>
          </w:p>
        </w:tc>
        <w:tc>
          <w:tcPr>
            <w:tcW w:type="dxa" w:w="1500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 xml:space="preserve">实际（元）</w:t>
            </w:r>
          </w:p>
        </w:tc>
        <w:tc>
          <w:tcPr>
            <w:tcW w:type="dxa" w:w="1800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 xml:space="preserve">差异额（元）</w:t>
            </w:r>
          </w:p>
        </w:tc>
        <w:tc>
          <w:tcPr>
            <w:tcW w:type="dxa" w:w="1412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 xml:space="preserve">差异率</w:t>
            </w:r>
          </w:p>
        </w:tc>
      </w:tr>
      <w:tr>
        <w:tc>
          <w:tcPr>
            <w:tcW w:type="dxa" w:w="21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学院拨款</w:t>
            </w:r>
          </w:p>
        </w:tc>
        <w:tc>
          <w:tcPr>
            <w:tcW w:type="dxa" w:w="15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800</w:t>
            </w:r>
          </w:p>
        </w:tc>
        <w:tc>
          <w:tcPr>
            <w:tcW w:type="dxa" w:w="15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800</w:t>
            </w:r>
          </w:p>
        </w:tc>
        <w:tc>
          <w:tcPr>
            <w:tcW w:type="dxa" w:w="18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0</w:t>
            </w:r>
          </w:p>
        </w:tc>
        <w:tc>
          <w:tcPr>
            <w:tcW w:type="dxa" w:w="14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0.0%</w:t>
            </w:r>
          </w:p>
        </w:tc>
      </w:tr>
      <w:tr>
        <w:tc>
          <w:tcPr>
            <w:tcW w:type="dxa" w:w="21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社员会费</w:t>
            </w:r>
          </w:p>
        </w:tc>
        <w:tc>
          <w:tcPr>
            <w:tcW w:type="dxa" w:w="15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300</w:t>
            </w:r>
          </w:p>
        </w:tc>
        <w:tc>
          <w:tcPr>
            <w:tcW w:type="dxa" w:w="15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240</w:t>
            </w:r>
          </w:p>
        </w:tc>
        <w:tc>
          <w:tcPr>
            <w:tcW w:type="dxa" w:w="18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−60</w:t>
            </w:r>
          </w:p>
        </w:tc>
        <w:tc>
          <w:tcPr>
            <w:tcW w:type="dxa" w:w="14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−20.0%</w:t>
            </w:r>
          </w:p>
        </w:tc>
      </w:tr>
      <w:tr>
        <w:tc>
          <w:tcPr>
            <w:tcW w:type="dxa" w:w="21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校外赞助</w:t>
            </w:r>
          </w:p>
        </w:tc>
        <w:tc>
          <w:tcPr>
            <w:tcW w:type="dxa" w:w="15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200</w:t>
            </w:r>
          </w:p>
        </w:tc>
        <w:tc>
          <w:tcPr>
            <w:tcW w:type="dxa" w:w="15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300</w:t>
            </w:r>
          </w:p>
        </w:tc>
        <w:tc>
          <w:tcPr>
            <w:tcW w:type="dxa" w:w="18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+100</w:t>
            </w:r>
          </w:p>
        </w:tc>
        <w:tc>
          <w:tcPr>
            <w:tcW w:type="dxa" w:w="14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+50.0%</w:t>
            </w:r>
          </w:p>
        </w:tc>
      </w:tr>
      <w:tr>
        <w:tc>
          <w:tcPr>
            <w:tcW w:type="dxa" w:w="21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收入合计</w:t>
            </w:r>
          </w:p>
        </w:tc>
        <w:tc>
          <w:tcPr>
            <w:tcW w:type="dxa" w:w="15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1300</w:t>
            </w:r>
          </w:p>
        </w:tc>
        <w:tc>
          <w:tcPr>
            <w:tcW w:type="dxa" w:w="15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1340</w:t>
            </w:r>
          </w:p>
        </w:tc>
        <w:tc>
          <w:tcPr>
            <w:tcW w:type="dxa" w:w="18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+40</w:t>
            </w:r>
          </w:p>
        </w:tc>
        <w:tc>
          <w:tcPr>
            <w:tcW w:type="dxa" w:w="14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+3.1%</w:t>
            </w:r>
          </w:p>
        </w:tc>
      </w:tr>
      <w:tr>
        <w:tc>
          <w:tcPr>
            <w:tcW w:type="dxa" w:w="21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印刷材料</w:t>
            </w:r>
          </w:p>
        </w:tc>
        <w:tc>
          <w:tcPr>
            <w:tcW w:type="dxa" w:w="15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360</w:t>
            </w:r>
          </w:p>
        </w:tc>
        <w:tc>
          <w:tcPr>
            <w:tcW w:type="dxa" w:w="15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425</w:t>
            </w:r>
          </w:p>
        </w:tc>
        <w:tc>
          <w:tcPr>
            <w:tcW w:type="dxa" w:w="18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+60</w:t>
            </w:r>
          </w:p>
        </w:tc>
        <w:tc>
          <w:tcPr>
            <w:tcW w:type="dxa" w:w="14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+16.7%</w:t>
            </w:r>
          </w:p>
        </w:tc>
      </w:tr>
      <w:tr>
        <w:tc>
          <w:tcPr>
            <w:tcW w:type="dxa" w:w="21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场地租用</w:t>
            </w:r>
          </w:p>
        </w:tc>
        <w:tc>
          <w:tcPr>
            <w:tcW w:type="dxa" w:w="15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200</w:t>
            </w:r>
          </w:p>
        </w:tc>
        <w:tc>
          <w:tcPr>
            <w:tcW w:type="dxa" w:w="15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200</w:t>
            </w:r>
          </w:p>
        </w:tc>
        <w:tc>
          <w:tcPr>
            <w:tcW w:type="dxa" w:w="18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0</w:t>
            </w:r>
          </w:p>
        </w:tc>
        <w:tc>
          <w:tcPr>
            <w:tcW w:type="dxa" w:w="14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0.0%</w:t>
            </w:r>
          </w:p>
        </w:tc>
      </w:tr>
      <w:tr>
        <w:tc>
          <w:tcPr>
            <w:tcW w:type="dxa" w:w="21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活动道具</w:t>
            </w:r>
          </w:p>
        </w:tc>
        <w:tc>
          <w:tcPr>
            <w:tcW w:type="dxa" w:w="15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260</w:t>
            </w:r>
          </w:p>
        </w:tc>
        <w:tc>
          <w:tcPr>
            <w:tcW w:type="dxa" w:w="15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230</w:t>
            </w:r>
          </w:p>
        </w:tc>
        <w:tc>
          <w:tcPr>
            <w:tcW w:type="dxa" w:w="18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−30</w:t>
            </w:r>
          </w:p>
        </w:tc>
        <w:tc>
          <w:tcPr>
            <w:tcW w:type="dxa" w:w="14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−11.5%</w:t>
            </w:r>
          </w:p>
        </w:tc>
      </w:tr>
      <w:tr>
        <w:tc>
          <w:tcPr>
            <w:tcW w:type="dxa" w:w="21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宣传海报</w:t>
            </w:r>
          </w:p>
        </w:tc>
        <w:tc>
          <w:tcPr>
            <w:tcW w:type="dxa" w:w="15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150</w:t>
            </w:r>
          </w:p>
        </w:tc>
        <w:tc>
          <w:tcPr>
            <w:tcW w:type="dxa" w:w="15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210</w:t>
            </w:r>
          </w:p>
        </w:tc>
        <w:tc>
          <w:tcPr>
            <w:tcW w:type="dxa" w:w="18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+60</w:t>
            </w:r>
          </w:p>
        </w:tc>
        <w:tc>
          <w:tcPr>
            <w:tcW w:type="dxa" w:w="14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+40.0%</w:t>
            </w:r>
          </w:p>
        </w:tc>
      </w:tr>
      <w:tr>
        <w:tc>
          <w:tcPr>
            <w:tcW w:type="dxa" w:w="21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茶歇</w:t>
            </w:r>
          </w:p>
        </w:tc>
        <w:tc>
          <w:tcPr>
            <w:tcW w:type="dxa" w:w="15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300</w:t>
            </w:r>
          </w:p>
        </w:tc>
        <w:tc>
          <w:tcPr>
            <w:tcW w:type="dxa" w:w="15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340</w:t>
            </w:r>
          </w:p>
        </w:tc>
        <w:tc>
          <w:tcPr>
            <w:tcW w:type="dxa" w:w="18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+40</w:t>
            </w:r>
          </w:p>
        </w:tc>
        <w:tc>
          <w:tcPr>
            <w:tcW w:type="dxa" w:w="14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+13.3%</w:t>
            </w:r>
          </w:p>
        </w:tc>
      </w:tr>
      <w:tr>
        <w:tc>
          <w:tcPr>
            <w:tcW w:type="dxa" w:w="21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其他备用金</w:t>
            </w:r>
          </w:p>
        </w:tc>
        <w:tc>
          <w:tcPr>
            <w:tcW w:type="dxa" w:w="15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100</w:t>
            </w:r>
          </w:p>
        </w:tc>
        <w:tc>
          <w:tcPr>
            <w:tcW w:type="dxa" w:w="15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0</w:t>
            </w:r>
          </w:p>
        </w:tc>
        <w:tc>
          <w:tcPr>
            <w:tcW w:type="dxa" w:w="18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−100</w:t>
            </w:r>
          </w:p>
        </w:tc>
        <w:tc>
          <w:tcPr>
            <w:tcW w:type="dxa" w:w="14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−100.0%</w:t>
            </w:r>
          </w:p>
        </w:tc>
      </w:tr>
      <w:tr>
        <w:tc>
          <w:tcPr>
            <w:tcW w:type="dxa" w:w="21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支出合计</w:t>
            </w:r>
          </w:p>
        </w:tc>
        <w:tc>
          <w:tcPr>
            <w:tcW w:type="dxa" w:w="15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1370</w:t>
            </w:r>
          </w:p>
        </w:tc>
        <w:tc>
          <w:tcPr>
            <w:tcW w:type="dxa" w:w="15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1405</w:t>
            </w:r>
          </w:p>
        </w:tc>
        <w:tc>
          <w:tcPr>
            <w:tcW w:type="dxa" w:w="18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+30</w:t>
            </w:r>
          </w:p>
        </w:tc>
        <w:tc>
          <w:tcPr>
            <w:tcW w:type="dxa" w:w="14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+2.2%</w:t>
            </w:r>
          </w:p>
        </w:tc>
      </w:tr>
    </w:tbl>
    <w:p>
      <w:pPr>
        <w:ind w:firstLine="0"/>
      </w:pPr>
    </w:p>
    <w:p>
      <w:pPr>
        <w:pStyle w:val="Heading3"/>
      </w:pPr>
      <w:r>
        <w:t xml:space="preserve">评分标准</w:t>
      </w:r>
    </w:p>
    <w:p>
      <w:pPr>
        <w:keepNext/>
        <w:ind w:firstLine="0"/>
        <w:jc w:val="center"/>
      </w:pPr>
      <w:r>
        <w:rPr>
          <w:rFonts w:ascii="Times New Roman" w:hAnsi="Times New Roman" w:eastAsia="黑体" w:cs="Times New Roman"/>
          <w:sz w:val="21"/>
        </w:rPr>
        <w:t xml:space="preserve">表2-12 综合练习评分标准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00"/>
        <w:gridCol w:w="5612"/>
        <w:gridCol w:w="700"/>
      </w:tblGrid>
      <w:tr>
        <w:trPr>
          <w:tblHeader/>
        </w:trPr>
        <w:tc>
          <w:tcPr>
            <w:tcW w:type="dxa" w:w="2000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 xml:space="preserve">任务</w:t>
            </w:r>
          </w:p>
        </w:tc>
        <w:tc>
          <w:tcPr>
            <w:tcW w:type="dxa" w:w="5612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 xml:space="preserve">评分要点</w:t>
            </w:r>
          </w:p>
        </w:tc>
        <w:tc>
          <w:tcPr>
            <w:tcW w:type="dxa" w:w="700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 xml:space="preserve">分值</w:t>
            </w:r>
          </w:p>
        </w:tc>
      </w:tr>
      <w:tr>
        <w:tc>
          <w:tcPr>
            <w:tcW w:type="dxa" w:w="20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1 整理流水</w:t>
            </w:r>
          </w:p>
        </w:tc>
        <w:tc>
          <w:tcPr>
            <w:tcW w:type="dxa" w:w="56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分类规则清楚，20笔类别正确，余额逐笔计算正确</w:t>
            </w:r>
          </w:p>
        </w:tc>
        <w:tc>
          <w:tcPr>
            <w:tcW w:type="dxa" w:w="7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20</w:t>
            </w:r>
          </w:p>
        </w:tc>
      </w:tr>
      <w:tr>
        <w:tc>
          <w:tcPr>
            <w:tcW w:type="dxa" w:w="20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2 编制对比表</w:t>
            </w:r>
          </w:p>
        </w:tc>
        <w:tc>
          <w:tcPr>
            <w:tcW w:type="dxa" w:w="56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收入、支出合计正确，差异额与差异率计算正确，期末余额预算值430元、实际值435元</w:t>
            </w:r>
          </w:p>
        </w:tc>
        <w:tc>
          <w:tcPr>
            <w:tcW w:type="dxa" w:w="7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15</w:t>
            </w:r>
          </w:p>
        </w:tc>
      </w:tr>
      <w:tr>
        <w:tc>
          <w:tcPr>
            <w:tcW w:type="dxa" w:w="20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3 核对AI结果</w:t>
            </w:r>
          </w:p>
        </w:tc>
        <w:tc>
          <w:tcPr>
            <w:tcW w:type="dxa" w:w="56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找出全部4处错误（印刷材料差异额与差异率、支出合计差异额与差异率），写明正确值</w:t>
            </w:r>
          </w:p>
        </w:tc>
        <w:tc>
          <w:tcPr>
            <w:tcW w:type="dxa" w:w="7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15</w:t>
            </w:r>
          </w:p>
        </w:tc>
      </w:tr>
      <w:tr>
        <w:tc>
          <w:tcPr>
            <w:tcW w:type="dxa" w:w="20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4 价量分解</w:t>
            </w:r>
          </w:p>
        </w:tc>
        <w:tc>
          <w:tcPr>
            <w:tcW w:type="dxa" w:w="56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数量影响48元、单价影响17元、合计65元，计算过程完整</w:t>
            </w:r>
          </w:p>
        </w:tc>
        <w:tc>
          <w:tcPr>
            <w:tcW w:type="dxa" w:w="7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15</w:t>
            </w:r>
          </w:p>
        </w:tc>
      </w:tr>
      <w:tr>
        <w:tc>
          <w:tcPr>
            <w:tcW w:type="dxa" w:w="20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5 调整建议</w:t>
            </w:r>
          </w:p>
        </w:tc>
        <w:tc>
          <w:tcPr>
            <w:tcW w:type="dxa" w:w="56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至少三项超支项目，证据与责任人明确，建议可执行</w:t>
            </w:r>
          </w:p>
        </w:tc>
        <w:tc>
          <w:tcPr>
            <w:tcW w:type="dxa" w:w="7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15</w:t>
            </w:r>
          </w:p>
        </w:tc>
      </w:tr>
      <w:tr>
        <w:tc>
          <w:tcPr>
            <w:tcW w:type="dxa" w:w="20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6 结余说明</w:t>
            </w:r>
          </w:p>
        </w:tc>
        <w:tc>
          <w:tcPr>
            <w:tcW w:type="dxa" w:w="56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收入差异+40元、支出差异+35元，二者合计解释期末余额差异+5元</w:t>
            </w:r>
          </w:p>
        </w:tc>
        <w:tc>
          <w:tcPr>
            <w:tcW w:type="dxa" w:w="7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10</w:t>
            </w:r>
          </w:p>
        </w:tc>
      </w:tr>
      <w:tr>
        <w:tc>
          <w:tcPr>
            <w:tcW w:type="dxa" w:w="20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7 反思</w:t>
            </w:r>
          </w:p>
        </w:tc>
        <w:tc>
          <w:tcPr>
            <w:tcW w:type="dxa" w:w="56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不超过300字，区分人工与大模型的判断，说明核对方法</w:t>
            </w:r>
          </w:p>
        </w:tc>
        <w:tc>
          <w:tcPr>
            <w:tcW w:type="dxa" w:w="7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10</w:t>
            </w:r>
          </w:p>
        </w:tc>
      </w:tr>
      <w:tr>
        <w:tc>
          <w:tcPr>
            <w:tcW w:type="dxa" w:w="20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合计</w:t>
            </w:r>
          </w:p>
        </w:tc>
        <w:tc>
          <w:tcPr>
            <w:tcW w:type="dxa" w:w="56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/>
            </w:r>
          </w:p>
        </w:tc>
        <w:tc>
          <w:tcPr>
            <w:tcW w:type="dxa" w:w="7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100</w:t>
            </w:r>
          </w:p>
        </w:tc>
      </w:tr>
    </w:tbl>
    <w:p>
      <w:pPr>
        <w:ind w:firstLine="0"/>
      </w:pPr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exact" w:line="400" w:before="0" w:after="0"/>
      <w:ind w:firstLine="480"/>
    </w:pPr>
    <w:rPr>
      <w:rFonts w:ascii="Times New Roman" w:hAnsi="Times New Roman" w:eastAsia="宋体" w:cs="Times New Roman"/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Rule="exact" w:line="480"/>
      <w:ind w:firstLine="0"/>
      <w:jc w:val="center"/>
      <w:outlineLvl w:val="0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i w:val="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Rule="exact" w:line="480"/>
      <w:ind w:firstLine="0"/>
      <w:jc w:val="left"/>
      <w:outlineLvl w:val="1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i w:val="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Rule="exact" w:line="480"/>
      <w:ind w:firstLine="0"/>
      <w:jc w:val="left"/>
      <w:outlineLvl w:val="2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i w:val="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