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全校非财会类各专业（公共基础课）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通识教育类教材，面向全校非财会类专业学生，作为公共基础课使用。依据国开社征稿通知，OPC</w:t>
      </w:r>
      <w:r>
        <w:t xml:space="preserve"> </w:t>
      </w:r>
      <w:r>
        <w:rPr>
          <w:rFonts w:hint="eastAsia"/>
        </w:rPr>
        <w:t xml:space="preserve">指”人工智能+创新创业”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 xml:space="preserve">辅助的操作与核验要求。政策依据包括教育部《关于深化职业教育教学关键要素改革的意见》（教职成〔2026〕1号）、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 xml:space="preserve">学时，全书理论约占四分之一。教材要求学生不上传身份证号、银行卡号等敏感信息，并在每个项目中设置人工复核环节。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大模型助手</w:t>
      </w:r>
      <w:r>
        <w:rPr>
          <w:rFonts w:hint="eastAsia"/>
        </w:rPr>
        <w:t xml:space="preserve">：解释条款、比较方案、生成预算与经营简报（第</w:t>
      </w:r>
      <w:r>
        <w:t xml:space="preserve"> 4、5、6、7、9、12、13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：配置财经提醒智能体，设置提醒规则和需要人工确认的操作（第</w:t>
      </w:r>
      <w:r>
        <w:t xml:space="preserve"> 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：如</w:t>
      </w:r>
      <w:r>
        <w:t xml:space="preserve"> </w:t>
      </w:r>
      <w:r>
        <w:rPr>
          <w:rFonts w:hint="eastAsia"/>
        </w:rPr>
        <w:t xml:space="preserve">WorkBuddy、豆包工作等，在授权文件夹中整理流水和表格（第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年暑期在河北企富财税管理有限公司担任财税信息化顾问，建成含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组实质性合规分析。本书的政策提醒和条款解读以该案例的处理方法为原型，企业数据须脱敏，并经企业书面授权。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：程娟娟律师（河北鸿翔（石家庄）律师事务所合伙人）参与项目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：毕业设计改革让学生为企业完成</w:t>
      </w:r>
      <w:r>
        <w:t xml:space="preserve"> 651 </w:t>
      </w:r>
      <w:r>
        <w:rPr>
          <w:rFonts w:hint="eastAsia"/>
        </w:rPr>
        <w:t xml:space="preserve">篇文档的打标分类，学生获得真实课题，企业获得成果。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：与河北企富财税管理有限公司的合作协议正在签订中；企业专家名单待填。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公共基础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生活场景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辅助判断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梳理办理流程和所需材料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6、8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2026-10-12T04:09:41Z</dcterms:created>
  <dcterms:modified xsi:type="dcterms:W3CDTF">2026-10-12T04:09:41Z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