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全书审校记录</w:t>
      </w:r>
    </w:p>
    <w:p>
      <w:pPr>
        <w:jc w:val="center"/>
      </w:pPr>
      <w:r>
        <w:t>审校日期：2026年10月31日　｜　写作基线：三级目录 v5、写作规则 v2；现行规范：目录 v7、写作规则 v52</w:t>
      </w:r>
    </w:p>
    <w:p>
      <w:pPr>
        <w:pStyle w:val="Heading1"/>
      </w:pPr>
      <w:r>
        <w:t>一、审校范围与判断原则</w:t>
      </w:r>
    </w:p>
    <w:p>
      <w:r>
        <w:t>以《教材三级目录_v5.docx》作为写作规划基线，以《写作规则_v2.docx》作为原有体例基线，逐项对照项目1—14的现行正文。正文或目录出现差异时，按教学目标、正文实际覆盖范围、项目编排顺序及前后任务衔接判断，不机械地以目录或正文一方为准。</w:t>
      </w:r>
    </w:p>
    <w:p>
      <w:r>
        <w:t>本轮重点覆盖：项目/任务标题与目录、任务数与思政园地、拓展内容位置、前后项目引用、校园线与职业线人物及数据口径、核心数值、表图编号与图注关系、统一版式参数、法规引用范围。</w:t>
      </w:r>
    </w:p>
    <w:p>
      <w:pPr>
        <w:pStyle w:val="Heading1"/>
      </w:pPr>
      <w:r>
        <w:t>二、统一规范与版本更新</w:t>
      </w:r>
    </w:p>
    <w:p>
      <w:r>
        <w:t>• 写作规则已更新为 v21：明确项目1—13各3个任务、项目14为4个任务；任务标题突出技能成果，AI并非必须逐条出现在标题中；项目1—13的【拓展】集中置于项目末尾并标明所属任务；人物模板须与现行图像逐项对应，已停用模板不得沿用。</w:t>
      </w:r>
    </w:p>
    <w:p>
      <w:r>
        <w:t>• 新增目录偏离判断与项目顺序引用规则：合理深化可保留正文并同步调整目录；造成教学范围偏移或衔接断裂时修正文稿；尚未学习的内容应使用前瞻表述。</w:t>
      </w:r>
    </w:p>
    <w:p>
      <w:r>
        <w:t>• 目录已更新为 v6：修订了与现行正文不一致的任务标题/场景说明，并将项目10标题调整为“图表呈现与结论表达”，以覆盖10.3的图表结论表达内容。</w:t>
      </w:r>
    </w:p>
    <w:p>
      <w:r>
        <w:t>• 统一背景口径：星空读书会经费包含学院拨款、社员会费、校外赞助及活动收入；青禾文具经营文具、礼品和办公用品。收入按实际到账、支出按实际付款；利润按收入减销货成本和费用计算。</w:t>
      </w:r>
    </w:p>
    <w:p>
      <w:r>
        <w:t>• 版本管理按用户要求只保留各文件最新版本；旧版已从工作目录移除。</w:t>
      </w:r>
    </w:p>
    <w:p>
      <w:pPr>
        <w:pStyle w:val="Heading1"/>
      </w:pPr>
      <w:r>
        <w:t>三、目录与正文差异的逐项判断</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jc w:val="center"/>
            </w:pPr>
            <w:r>
              <w:rPr>
                <w:b/>
                <w:sz w:val="18"/>
              </w:rPr>
              <w:t>位置</w:t>
            </w:r>
          </w:p>
        </w:tc>
        <w:tc>
          <w:tcPr>
            <w:tcW w:type="dxa" w:w="2771"/>
            <w:vAlign w:val="center"/>
          </w:tcPr>
          <w:p>
            <w:pPr>
              <w:jc w:val="center"/>
            </w:pPr>
            <w:r>
              <w:rPr>
                <w:b/>
                <w:sz w:val="18"/>
              </w:rPr>
              <w:t>发现</w:t>
            </w:r>
          </w:p>
        </w:tc>
        <w:tc>
          <w:tcPr>
            <w:tcW w:type="dxa" w:w="2771"/>
            <w:vAlign w:val="center"/>
          </w:tcPr>
          <w:p>
            <w:pPr>
              <w:jc w:val="center"/>
            </w:pPr>
            <w:r>
              <w:rPr>
                <w:b/>
                <w:sz w:val="18"/>
              </w:rPr>
              <w:t>判断与处理</w:t>
            </w:r>
          </w:p>
        </w:tc>
      </w:tr>
      <w:tr>
        <w:tc>
          <w:tcPr>
            <w:tcW w:type="dxa" w:w="2771"/>
            <w:vAlign w:val="center"/>
          </w:tcPr>
          <w:p>
            <w:pPr>
              <w:spacing w:line="240" w:lineRule="auto" w:before="0" w:after="0"/>
            </w:pPr>
            <w:r>
              <w:rPr>
                <w:rFonts w:ascii="Times New Roman" w:hAnsi="Times New Roman" w:eastAsia="宋体"/>
                <w:sz w:val="18"/>
              </w:rPr>
              <w:t>1.1</w:t>
            </w:r>
          </w:p>
        </w:tc>
        <w:tc>
          <w:tcPr>
            <w:tcW w:type="dxa" w:w="2771"/>
            <w:vAlign w:val="center"/>
          </w:tcPr>
          <w:p>
            <w:pPr>
              <w:spacing w:line="240" w:lineRule="auto" w:before="0" w:after="0"/>
            </w:pPr>
            <w:r>
              <w:rPr>
                <w:rFonts w:ascii="Times New Roman" w:hAnsi="Times New Roman" w:eastAsia="宋体"/>
                <w:sz w:val="18"/>
              </w:rPr>
              <w:t>校园/职业场景注释写“实习生收到报销疑问”，正文实际为财务助理小周接收信息。</w:t>
            </w:r>
          </w:p>
        </w:tc>
        <w:tc>
          <w:tcPr>
            <w:tcW w:type="dxa" w:w="2771"/>
            <w:vAlign w:val="center"/>
          </w:tcPr>
          <w:p>
            <w:pPr>
              <w:spacing w:line="240" w:lineRule="auto" w:before="0" w:after="0"/>
            </w:pPr>
            <w:r>
              <w:rPr>
                <w:rFonts w:ascii="Times New Roman" w:hAnsi="Times New Roman" w:eastAsia="宋体"/>
                <w:sz w:val="18"/>
              </w:rPr>
              <w:t>保留正文，目录改为“财务助理收到报销疑问”；与人物设定一致。</w:t>
            </w:r>
          </w:p>
        </w:tc>
      </w:tr>
      <w:tr>
        <w:tc>
          <w:tcPr>
            <w:tcW w:type="dxa" w:w="2771"/>
            <w:vAlign w:val="center"/>
          </w:tcPr>
          <w:p>
            <w:pPr>
              <w:spacing w:line="240" w:lineRule="auto" w:before="0" w:after="0"/>
            </w:pPr>
            <w:r>
              <w:rPr>
                <w:rFonts w:ascii="Times New Roman" w:hAnsi="Times New Roman" w:eastAsia="宋体"/>
                <w:sz w:val="18"/>
              </w:rPr>
              <w:t>8.1</w:t>
            </w:r>
          </w:p>
        </w:tc>
        <w:tc>
          <w:tcPr>
            <w:tcW w:type="dxa" w:w="2771"/>
            <w:vAlign w:val="center"/>
          </w:tcPr>
          <w:p>
            <w:pPr>
              <w:spacing w:line="240" w:lineRule="auto" w:before="0" w:after="0"/>
            </w:pPr>
            <w:r>
              <w:rPr>
                <w:rFonts w:ascii="Times New Roman" w:hAnsi="Times New Roman" w:eastAsia="宋体"/>
                <w:sz w:val="18"/>
              </w:rPr>
              <w:t>目录原用“检查结果”，正文为“核对结果”。</w:t>
            </w:r>
          </w:p>
        </w:tc>
        <w:tc>
          <w:tcPr>
            <w:tcW w:type="dxa" w:w="2771"/>
            <w:vAlign w:val="center"/>
          </w:tcPr>
          <w:p>
            <w:pPr>
              <w:spacing w:line="240" w:lineRule="auto" w:before="0" w:after="0"/>
            </w:pPr>
            <w:r>
              <w:rPr>
                <w:rFonts w:ascii="Times New Roman" w:hAnsi="Times New Roman" w:eastAsia="宋体"/>
                <w:sz w:val="18"/>
              </w:rPr>
              <w:t>属用词差异；目录统一为正文“核对结果”，强调复核。</w:t>
            </w:r>
          </w:p>
        </w:tc>
      </w:tr>
      <w:tr>
        <w:tc>
          <w:tcPr>
            <w:tcW w:type="dxa" w:w="2771"/>
            <w:vAlign w:val="center"/>
          </w:tcPr>
          <w:p>
            <w:pPr>
              <w:spacing w:line="240" w:lineRule="auto" w:before="0" w:after="0"/>
            </w:pPr>
            <w:r>
              <w:rPr>
                <w:rFonts w:ascii="Times New Roman" w:hAnsi="Times New Roman" w:eastAsia="宋体"/>
                <w:sz w:val="18"/>
              </w:rPr>
              <w:t>8.2</w:t>
            </w:r>
          </w:p>
        </w:tc>
        <w:tc>
          <w:tcPr>
            <w:tcW w:type="dxa" w:w="2771"/>
            <w:vAlign w:val="center"/>
          </w:tcPr>
          <w:p>
            <w:pPr>
              <w:spacing w:line="240" w:lineRule="auto" w:before="0" w:after="0"/>
            </w:pPr>
            <w:r>
              <w:rPr>
                <w:rFonts w:ascii="Times New Roman" w:hAnsi="Times New Roman" w:eastAsia="宋体"/>
                <w:sz w:val="18"/>
              </w:rPr>
              <w:t>目录原用“清理重复和错误的数据”，正文为“清理重复与错误数据”。</w:t>
            </w:r>
          </w:p>
        </w:tc>
        <w:tc>
          <w:tcPr>
            <w:tcW w:type="dxa" w:w="2771"/>
            <w:vAlign w:val="center"/>
          </w:tcPr>
          <w:p>
            <w:pPr>
              <w:spacing w:line="240" w:lineRule="auto" w:before="0" w:after="0"/>
            </w:pPr>
            <w:r>
              <w:rPr>
                <w:rFonts w:ascii="Times New Roman" w:hAnsi="Times New Roman" w:eastAsia="宋体"/>
                <w:sz w:val="18"/>
              </w:rPr>
              <w:t>范围一致；统一目录措辞。</w:t>
            </w:r>
          </w:p>
        </w:tc>
      </w:tr>
      <w:tr>
        <w:tc>
          <w:tcPr>
            <w:tcW w:type="dxa" w:w="2771"/>
            <w:vAlign w:val="center"/>
          </w:tcPr>
          <w:p>
            <w:pPr>
              <w:spacing w:line="240" w:lineRule="auto" w:before="0" w:after="0"/>
            </w:pPr>
            <w:r>
              <w:rPr>
                <w:rFonts w:ascii="Times New Roman" w:hAnsi="Times New Roman" w:eastAsia="宋体"/>
                <w:sz w:val="18"/>
              </w:rPr>
              <w:t>8.3</w:t>
            </w:r>
          </w:p>
        </w:tc>
        <w:tc>
          <w:tcPr>
            <w:tcW w:type="dxa" w:w="2771"/>
            <w:vAlign w:val="center"/>
          </w:tcPr>
          <w:p>
            <w:pPr>
              <w:spacing w:line="240" w:lineRule="auto" w:before="0" w:after="0"/>
            </w:pPr>
            <w:r>
              <w:rPr>
                <w:rFonts w:ascii="Times New Roman" w:hAnsi="Times New Roman" w:eastAsia="宋体"/>
                <w:sz w:val="18"/>
              </w:rPr>
              <w:t>正文原题“收支表模板”，导入与正文实际聚焦预算、实际、差异额及差异率。</w:t>
            </w:r>
          </w:p>
        </w:tc>
        <w:tc>
          <w:tcPr>
            <w:tcW w:type="dxa" w:w="2771"/>
            <w:vAlign w:val="center"/>
          </w:tcPr>
          <w:p>
            <w:pPr>
              <w:spacing w:line="240" w:lineRule="auto" w:before="0" w:after="0"/>
            </w:pPr>
            <w:r>
              <w:rPr>
                <w:rFonts w:ascii="Times New Roman" w:hAnsi="Times New Roman" w:eastAsia="宋体"/>
                <w:sz w:val="18"/>
              </w:rPr>
              <w:t>属于正文标题范围偏窄；正文改为“用AI生成预算与收支表模板”，与内容一致。</w:t>
            </w:r>
          </w:p>
        </w:tc>
      </w:tr>
      <w:tr>
        <w:tc>
          <w:tcPr>
            <w:tcW w:type="dxa" w:w="2771"/>
            <w:vAlign w:val="center"/>
          </w:tcPr>
          <w:p>
            <w:pPr>
              <w:spacing w:line="240" w:lineRule="auto" w:before="0" w:after="0"/>
            </w:pPr>
            <w:r>
              <w:rPr>
                <w:rFonts w:ascii="Times New Roman" w:hAnsi="Times New Roman" w:eastAsia="宋体"/>
                <w:sz w:val="18"/>
              </w:rPr>
              <w:t>10.1</w:t>
            </w:r>
          </w:p>
        </w:tc>
        <w:tc>
          <w:tcPr>
            <w:tcW w:type="dxa" w:w="2771"/>
            <w:vAlign w:val="center"/>
          </w:tcPr>
          <w:p>
            <w:pPr>
              <w:spacing w:line="240" w:lineRule="auto" w:before="0" w:after="0"/>
            </w:pPr>
            <w:r>
              <w:rPr>
                <w:rFonts w:ascii="Times New Roman" w:hAnsi="Times New Roman" w:eastAsia="宋体"/>
                <w:sz w:val="18"/>
              </w:rPr>
              <w:t>目录原为“选对图表”，正文聚焦AI辅助选择图表类型。</w:t>
            </w:r>
          </w:p>
        </w:tc>
        <w:tc>
          <w:tcPr>
            <w:tcW w:type="dxa" w:w="2771"/>
            <w:vAlign w:val="center"/>
          </w:tcPr>
          <w:p>
            <w:pPr>
              <w:spacing w:line="240" w:lineRule="auto" w:before="0" w:after="0"/>
            </w:pPr>
            <w:r>
              <w:rPr>
                <w:rFonts w:ascii="Times New Roman" w:hAnsi="Times New Roman" w:eastAsia="宋体"/>
                <w:sz w:val="18"/>
              </w:rPr>
              <w:t>技能表达更具体；目录采用正文标题。</w:t>
            </w:r>
          </w:p>
        </w:tc>
      </w:tr>
      <w:tr>
        <w:tc>
          <w:tcPr>
            <w:tcW w:type="dxa" w:w="2771"/>
            <w:vAlign w:val="center"/>
          </w:tcPr>
          <w:p>
            <w:pPr>
              <w:spacing w:line="240" w:lineRule="auto" w:before="0" w:after="0"/>
            </w:pPr>
            <w:r>
              <w:rPr>
                <w:rFonts w:ascii="Times New Roman" w:hAnsi="Times New Roman" w:eastAsia="宋体"/>
                <w:sz w:val="18"/>
              </w:rPr>
              <w:t>10.2</w:t>
            </w:r>
          </w:p>
        </w:tc>
        <w:tc>
          <w:tcPr>
            <w:tcW w:type="dxa" w:w="2771"/>
            <w:vAlign w:val="center"/>
          </w:tcPr>
          <w:p>
            <w:pPr>
              <w:spacing w:line="240" w:lineRule="auto" w:before="0" w:after="0"/>
            </w:pPr>
            <w:r>
              <w:rPr>
                <w:rFonts w:ascii="Times New Roman" w:hAnsi="Times New Roman" w:eastAsia="宋体"/>
                <w:sz w:val="18"/>
              </w:rPr>
              <w:t>目录原为“用Excel或AI做出图表”，正文强调生成图表并检查坐标轴。</w:t>
            </w:r>
          </w:p>
        </w:tc>
        <w:tc>
          <w:tcPr>
            <w:tcW w:type="dxa" w:w="2771"/>
            <w:vAlign w:val="center"/>
          </w:tcPr>
          <w:p>
            <w:pPr>
              <w:spacing w:line="240" w:lineRule="auto" w:before="0" w:after="0"/>
            </w:pPr>
            <w:r>
              <w:rPr>
                <w:rFonts w:ascii="Times New Roman" w:hAnsi="Times New Roman" w:eastAsia="宋体"/>
                <w:sz w:val="18"/>
              </w:rPr>
              <w:t>坐标轴核验是正文的关键学习点；目录采用正文标题。</w:t>
            </w:r>
          </w:p>
        </w:tc>
      </w:tr>
      <w:tr>
        <w:tc>
          <w:tcPr>
            <w:tcW w:type="dxa" w:w="2771"/>
            <w:vAlign w:val="center"/>
          </w:tcPr>
          <w:p>
            <w:pPr>
              <w:spacing w:line="240" w:lineRule="auto" w:before="0" w:after="0"/>
            </w:pPr>
            <w:r>
              <w:rPr>
                <w:rFonts w:ascii="Times New Roman" w:hAnsi="Times New Roman" w:eastAsia="宋体"/>
                <w:sz w:val="18"/>
              </w:rPr>
              <w:t>10.3</w:t>
            </w:r>
          </w:p>
        </w:tc>
        <w:tc>
          <w:tcPr>
            <w:tcW w:type="dxa" w:w="2771"/>
            <w:vAlign w:val="center"/>
          </w:tcPr>
          <w:p>
            <w:pPr>
              <w:spacing w:line="240" w:lineRule="auto" w:before="0" w:after="0"/>
            </w:pPr>
            <w:r>
              <w:rPr>
                <w:rFonts w:ascii="Times New Roman" w:hAnsi="Times New Roman" w:eastAsia="宋体"/>
                <w:sz w:val="18"/>
              </w:rPr>
              <w:t>目录原为一般性“讲清图表说明”，正文包含AI提炼、人工核对结论。</w:t>
            </w:r>
          </w:p>
        </w:tc>
        <w:tc>
          <w:tcPr>
            <w:tcW w:type="dxa" w:w="2771"/>
            <w:vAlign w:val="center"/>
          </w:tcPr>
          <w:p>
            <w:pPr>
              <w:spacing w:line="240" w:lineRule="auto" w:before="0" w:after="0"/>
            </w:pPr>
            <w:r>
              <w:rPr>
                <w:rFonts w:ascii="Times New Roman" w:hAnsi="Times New Roman" w:eastAsia="宋体"/>
                <w:sz w:val="18"/>
              </w:rPr>
              <w:t>正文更准确反映任务技能；目录采用正文标题，保留校园/职业汇报场景。</w:t>
            </w:r>
          </w:p>
        </w:tc>
      </w:tr>
      <w:tr>
        <w:tc>
          <w:tcPr>
            <w:tcW w:type="dxa" w:w="2771"/>
            <w:vAlign w:val="center"/>
          </w:tcPr>
          <w:p>
            <w:pPr>
              <w:spacing w:line="240" w:lineRule="auto" w:before="0" w:after="0"/>
            </w:pPr>
            <w:r>
              <w:rPr>
                <w:rFonts w:ascii="Times New Roman" w:hAnsi="Times New Roman" w:eastAsia="宋体"/>
                <w:sz w:val="18"/>
              </w:rPr>
              <w:t>11.1</w:t>
            </w:r>
          </w:p>
        </w:tc>
        <w:tc>
          <w:tcPr>
            <w:tcW w:type="dxa" w:w="2771"/>
            <w:vAlign w:val="center"/>
          </w:tcPr>
          <w:p>
            <w:pPr>
              <w:spacing w:line="240" w:lineRule="auto" w:before="0" w:after="0"/>
            </w:pPr>
            <w:r>
              <w:rPr>
                <w:rFonts w:ascii="Times New Roman" w:hAnsi="Times New Roman" w:eastAsia="宋体"/>
                <w:sz w:val="18"/>
              </w:rPr>
              <w:t>目录原只写“整理制度文件”，正文还承担知识库素材准备。</w:t>
            </w:r>
          </w:p>
        </w:tc>
        <w:tc>
          <w:tcPr>
            <w:tcW w:type="dxa" w:w="2771"/>
            <w:vAlign w:val="center"/>
          </w:tcPr>
          <w:p>
            <w:pPr>
              <w:spacing w:line="240" w:lineRule="auto" w:before="0" w:after="0"/>
            </w:pPr>
            <w:r>
              <w:rPr>
                <w:rFonts w:ascii="Times New Roman" w:hAnsi="Times New Roman" w:eastAsia="宋体"/>
                <w:sz w:val="18"/>
              </w:rPr>
              <w:t>正文范围合理且为11.2作准备；目录补全该目的。</w:t>
            </w:r>
          </w:p>
        </w:tc>
      </w:tr>
      <w:tr>
        <w:tc>
          <w:tcPr>
            <w:tcW w:type="dxa" w:w="2771"/>
            <w:vAlign w:val="center"/>
          </w:tcPr>
          <w:p>
            <w:pPr>
              <w:spacing w:line="240" w:lineRule="auto" w:before="0" w:after="0"/>
            </w:pPr>
            <w:r>
              <w:rPr>
                <w:rFonts w:ascii="Times New Roman" w:hAnsi="Times New Roman" w:eastAsia="宋体"/>
                <w:sz w:val="18"/>
              </w:rPr>
              <w:t>项目10</w:t>
            </w:r>
          </w:p>
        </w:tc>
        <w:tc>
          <w:tcPr>
            <w:tcW w:type="dxa" w:w="2771"/>
            <w:vAlign w:val="center"/>
          </w:tcPr>
          <w:p>
            <w:pPr>
              <w:spacing w:line="240" w:lineRule="auto" w:before="0" w:after="0"/>
            </w:pPr>
            <w:r>
              <w:rPr>
                <w:rFonts w:ascii="Times New Roman" w:hAnsi="Times New Roman" w:eastAsia="宋体"/>
                <w:sz w:val="18"/>
              </w:rPr>
              <w:t>目录原“财务数据的图表呈现”，正文题名为“图表呈现与结论表达”。</w:t>
            </w:r>
          </w:p>
        </w:tc>
        <w:tc>
          <w:tcPr>
            <w:tcW w:type="dxa" w:w="2771"/>
            <w:vAlign w:val="center"/>
          </w:tcPr>
          <w:p>
            <w:pPr>
              <w:spacing w:line="240" w:lineRule="auto" w:before="0" w:after="0"/>
            </w:pPr>
            <w:r>
              <w:rPr>
                <w:rFonts w:ascii="Times New Roman" w:hAnsi="Times New Roman" w:eastAsia="宋体"/>
                <w:sz w:val="18"/>
              </w:rPr>
              <w:t>任务10.3明确包含结论表达，正文范围合理；目录改为正文标题。</w:t>
            </w:r>
          </w:p>
        </w:tc>
      </w:tr>
      <w:tr>
        <w:tc>
          <w:tcPr>
            <w:tcW w:type="dxa" w:w="2771"/>
          </w:tcPr>
          <w:p>
            <w:r>
              <w:t>素材：图1-2</w:t>
            </w:r>
          </w:p>
        </w:tc>
        <w:tc>
          <w:tcPr>
            <w:tcW w:type="dxa" w:w="2771"/>
          </w:tcPr>
          <w:p>
            <w:r>
              <w:t>图表/图1-2_导论场景_v1.png与正文图1-2字节和画面均不同；正文图精确匹配项目根目录“图1-2_人物场景图.png”。</w:t>
            </w:r>
          </w:p>
        </w:tc>
        <w:tc>
          <w:tcPr>
            <w:tcW w:type="dxa" w:w="2771"/>
          </w:tcPr>
          <w:p>
            <w:r>
              <w:t>将其视为未采用的候选，不替换现稿；根目录图片列入现稿引用清单。</w:t>
            </w:r>
          </w:p>
        </w:tc>
      </w:tr>
      <w:tr>
        <w:tc>
          <w:tcPr>
            <w:tcW w:type="dxa" w:w="2771"/>
          </w:tcPr>
          <w:p>
            <w:r>
              <w:t>素材：图2-2</w:t>
            </w:r>
          </w:p>
        </w:tc>
        <w:tc>
          <w:tcPr>
            <w:tcW w:type="dxa" w:w="2771"/>
          </w:tcPr>
          <w:p>
            <w:r>
              <w:t>图表/项目2_图2-2_任务2.1导入场景_v1.png画面为小何，正文图为橙色背心的未命名社员，且与模板B一致。</w:t>
            </w:r>
          </w:p>
        </w:tc>
        <w:tc>
          <w:tcPr>
            <w:tcW w:type="dxa" w:w="2771"/>
          </w:tcPr>
          <w:p>
            <w:r>
              <w:t>保留正文现图；正文媒体已原样提取至图表/正文引用图，候选素材不应误作正文源图。</w:t>
            </w:r>
          </w:p>
        </w:tc>
      </w:tr>
      <w:tr>
        <w:tc>
          <w:tcPr>
            <w:tcW w:type="dxa" w:w="2771"/>
          </w:tcPr>
          <w:p>
            <w:r>
              <w:t>素材：图3-2</w:t>
            </w:r>
          </w:p>
        </w:tc>
        <w:tc>
          <w:tcPr>
            <w:tcW w:type="dxa" w:w="2771"/>
          </w:tcPr>
          <w:p>
            <w:r>
              <w:t>图表/图3-2_任务3.1导入场景_v1.png画面为小何，正文图为核对合同的男性社员，与模板C一致。</w:t>
            </w:r>
          </w:p>
        </w:tc>
        <w:tc>
          <w:tcPr>
            <w:tcW w:type="dxa" w:w="2771"/>
          </w:tcPr>
          <w:p>
            <w:r>
              <w:t>保留正文现图；现稿图片已另存为字节级副本，候选素材待归档。</w:t>
            </w:r>
          </w:p>
        </w:tc>
      </w:tr>
      <w:tr>
        <w:tc>
          <w:tcPr>
            <w:tcW w:type="dxa" w:w="2771"/>
          </w:tcPr>
          <w:p>
            <w:r>
              <w:t>素材：图3-5</w:t>
            </w:r>
          </w:p>
        </w:tc>
        <w:tc>
          <w:tcPr>
            <w:tcW w:type="dxa" w:w="2771"/>
          </w:tcPr>
          <w:p>
            <w:r>
              <w:t>图表/图3-5_任务3.2导入场景_v1.png画面为小何的校园摊位场景，正文图为文具店比较优惠的女性社员，与模板D一致。</w:t>
            </w:r>
          </w:p>
        </w:tc>
        <w:tc>
          <w:tcPr>
            <w:tcW w:type="dxa" w:w="2771"/>
          </w:tcPr>
          <w:p>
            <w:r>
              <w:t>保留正文现图；现稿图片已另存为字节级副本，候选素材待归档。</w:t>
            </w:r>
          </w:p>
        </w:tc>
      </w:tr>
      <w:tr>
        <w:tc>
          <w:tcPr>
            <w:tcW w:type="dxa" w:w="2771"/>
          </w:tcPr>
          <w:p>
            <w:r>
              <w:t>素材：图5-2</w:t>
            </w:r>
          </w:p>
        </w:tc>
        <w:tc>
          <w:tcPr>
            <w:tcW w:type="dxa" w:w="2771"/>
          </w:tcPr>
          <w:p>
            <w:r>
              <w:t>两份图5-2候选素材（图5-2_任务5.1导入场景、项目5_图5-2_义卖摊清点收入）内容重复，均与正文男性社员清点收入图不同。</w:t>
            </w:r>
          </w:p>
        </w:tc>
        <w:tc>
          <w:tcPr>
            <w:tcW w:type="dxa" w:w="2771"/>
          </w:tcPr>
          <w:p>
            <w:r>
              <w:t>正文现图与模板G一致；现稿图片已另存为字节级副本，两个候选保留待归档。</w:t>
            </w:r>
          </w:p>
        </w:tc>
      </w:tr>
      <w:tr>
        <w:tc>
          <w:tcPr>
            <w:tcW w:type="dxa" w:w="2771"/>
          </w:tcPr>
          <w:p>
            <w:r>
              <w:t>素材：图6-2</w:t>
            </w:r>
          </w:p>
        </w:tc>
        <w:tc>
          <w:tcPr>
            <w:tcW w:type="dxa" w:w="2771"/>
          </w:tcPr>
          <w:p>
            <w:r>
              <w:t>图表/项目6_图6-2_任务6.1导入场景_v1.png画面为小何在文具店，正文图为模板H女性社员在库房查看设备标签。</w:t>
            </w:r>
          </w:p>
        </w:tc>
        <w:tc>
          <w:tcPr>
            <w:tcW w:type="dxa" w:w="2771"/>
          </w:tcPr>
          <w:p>
            <w:r>
              <w:t>保留正文现图；现稿图片已另存为字节级副本，候选素材不应误作正文源图。</w:t>
            </w:r>
          </w:p>
        </w:tc>
      </w:tr>
      <w:tr>
        <w:tc>
          <w:tcPr>
            <w:tcW w:type="dxa" w:w="2771"/>
          </w:tcPr>
          <w:p>
            <w:r>
              <w:t>素材：图7-3/图7-4</w:t>
            </w:r>
          </w:p>
        </w:tc>
        <w:tc>
          <w:tcPr>
            <w:tcW w:type="dxa" w:w="2771"/>
          </w:tcPr>
          <w:p>
            <w:r>
              <w:t>正文图7-3为税额柱状图、图7-4为个税核算流程；素材目录两文件名原先互换，内容与正文媒体字节一致。</w:t>
            </w:r>
          </w:p>
        </w:tc>
        <w:tc>
          <w:tcPr>
            <w:tcW w:type="dxa" w:w="2771"/>
          </w:tcPr>
          <w:p>
            <w:r>
              <w:t>按实际内容交换文件名；正文图像无需改动。</w:t>
            </w:r>
          </w:p>
        </w:tc>
      </w:tr>
      <w:tr>
        <w:tc>
          <w:tcPr>
            <w:tcW w:type="dxa" w:w="2771"/>
          </w:tcPr>
          <w:p>
            <w:r>
              <w:t>8.1 表8-2</w:t>
            </w:r>
          </w:p>
        </w:tc>
        <w:tc>
          <w:tcPr>
            <w:tcW w:type="dxa" w:w="2771"/>
          </w:tcPr>
          <w:p>
            <w:r>
              <w:t>原表展示收入2040元、支出599.5元总计，但仅列学院拨款、社员会费、印刷材料和茶歇等部分分类，赞助收入300元、场地租用150元、活动道具88元缺行，无法从列示明细复算合计。；原“结果（元/条）”表头混合金额和记录数，单位不清。</w:t>
            </w:r>
          </w:p>
        </w:tc>
        <w:tc>
          <w:tcPr>
            <w:tcW w:type="dxa" w:w="2771"/>
          </w:tcPr>
          <w:p>
            <w:r>
              <w:t>补入缺失的三类SUMIFS公式和分类金额；全部类别现可分别加总至收入2040元、支出599.5元。；表头改为“结果（金额：元；记录数：条）”。</w:t>
            </w:r>
          </w:p>
        </w:tc>
      </w:tr>
      <w:tr>
        <w:tc>
          <w:tcPr>
            <w:tcW w:type="dxa" w:w="2771"/>
          </w:tcPr>
          <w:p>
            <w:r>
              <w:t>9.3 经营说明</w:t>
            </w:r>
          </w:p>
        </w:tc>
        <w:tc>
          <w:tcPr>
            <w:tcW w:type="dxa" w:w="2771"/>
          </w:tcPr>
          <w:p>
            <w:r>
              <w:t>青禾文具10月广告费880元、占支出12.2%，正文和修改示例误称其为“第二大项”；结论含无比较基准的“良好”等评价，社员版有“基本平衡”“基本符合预期”等模糊判断。表9-5对缺少上月数据支持的“广告费偏高”未给出适当处理。</w:t>
            </w:r>
          </w:p>
        </w:tc>
        <w:tc>
          <w:tcPr>
            <w:tcW w:type="dxa" w:w="2771"/>
          </w:tcPr>
          <w:p>
            <w:r>
              <w:t>依据表9-3，广告费为第三大支出；改为第三大项，删除无依据评价，改用可复算的收入、支出、结余及预算差额表述。表9-5改为删除“偏高”判断，或先补齐比较数据与标准。</w:t>
            </w:r>
          </w:p>
        </w:tc>
      </w:tr>
      <w:tr>
        <w:tc>
          <w:tcPr>
            <w:tcW w:type="dxa" w:w="2771"/>
          </w:tcPr>
          <w:p>
            <w:r>
              <w:t>11.3 图11-4</w:t>
            </w:r>
          </w:p>
        </w:tc>
        <w:tc>
          <w:tcPr>
            <w:tcW w:type="dxa" w:w="2771"/>
          </w:tcPr>
          <w:p>
            <w:r>
              <w:t>图中分类次数为6、4、3、2，图注标注示例数据；表11-4和表11-5分别为题库结构及评分记录示例，不构成15次统计的底层明细。</w:t>
            </w:r>
          </w:p>
        </w:tc>
        <w:tc>
          <w:tcPr>
            <w:tcW w:type="dxa" w:w="2771"/>
          </w:tcPr>
          <w:p>
            <w:r>
              <w:t>明确图11-4为教学示例，用于演示分类统计，不是表11-4、11-5的实测汇总，不能据此判断真实系统表现。</w:t>
            </w:r>
          </w:p>
        </w:tc>
      </w:tr>
      <w:tr>
        <w:tc>
          <w:tcPr>
            <w:tcW w:type="dxa" w:w="2771"/>
          </w:tcPr>
          <w:p>
            <w:r>
              <w:t>13.3 保密与脱敏法规依据</w:t>
            </w:r>
          </w:p>
        </w:tc>
        <w:tc>
          <w:tcPr>
            <w:tcW w:type="dxa" w:w="2771"/>
          </w:tcPr>
          <w:p>
            <w:r>
              <w:t>原文提出最小必要、脱敏与留痕要求，但所列《会计法》《会计基础工作规范》《发票管理办法》主要涉及会计凭证及票据，未直接支持个人信息处理和数据安全要求；“脱敏”定义未清晰区分假名化与匿名化。</w:t>
            </w:r>
          </w:p>
        </w:tc>
        <w:tc>
          <w:tcPr>
            <w:tcW w:type="dxa" w:w="2771"/>
          </w:tcPr>
          <w:p>
            <w:r>
              <w:t>补入《个人信息保护法》第4、6、51条及《数据安全法》第27条，并列入法规索引；说明脱敏仅降低直接识别风险，不能据此认定数据已匿名化。核实了《会计基础工作规范》2019修改版截至审校日仍为现行引用版本，同时记录其修订征求意见与2026立法安排，要求出版前复查。</w:t>
            </w:r>
          </w:p>
        </w:tc>
      </w:tr>
      <w:tr>
        <w:tc>
          <w:tcPr>
            <w:tcW w:type="dxa" w:w="2771"/>
          </w:tcPr>
          <w:p>
            <w:r>
              <w:t>10.2 图10-7截断纵轴与金额比例</w:t>
            </w:r>
          </w:p>
        </w:tc>
        <w:tc>
          <w:tcPr>
            <w:tcW w:type="dxa" w:w="2771"/>
          </w:tcPr>
          <w:p>
            <w:r>
              <w:t>图10-7左图刻度和图题明确从1900元起，正文及校园案例却写从2000元起；按1900元基线，2100元与2040元柱高为200元、140元，实际柱长比约70%，原文“约四成”不符。数据的真实差额为60元，占预算2100元的2.9%。</w:t>
            </w:r>
          </w:p>
        </w:tc>
        <w:tc>
          <w:tcPr>
            <w:tcW w:type="dxa" w:w="2771"/>
          </w:tcPr>
          <w:p>
            <w:r>
              <w:t>正文、思政园地与图示统一为1900元起点；将截断图的柱长说明改为200元与140元（约7∶5），并同时说明实际差额只占预算2.9%，避免把柱长比当成金额占比。重新核算图10-4五类金额、占比，图10-5六类金额及总额均相符。项目10升至v8。</w:t>
            </w:r>
          </w:p>
        </w:tc>
      </w:tr>
      <w:tr>
        <w:tc>
          <w:tcPr>
            <w:tcW w:type="dxa" w:w="2771"/>
          </w:tcPr>
          <w:p>
            <w:r>
              <w:t>10.3 图10-8 AI出图核对流程</w:t>
            </w:r>
          </w:p>
        </w:tc>
        <w:tc>
          <w:tcPr>
            <w:tcW w:type="dxa" w:w="2771"/>
          </w:tcPr>
          <w:p>
            <w:r>
              <w:t>原流程图在“图中数字与原表逐项一致？”判断后，仅画出一条向下箭头并标“否，返回核对”，却继续进入标题/单位检查和结论写作；缺少“是”分支，且未画出返回修正的路径。</w:t>
            </w:r>
          </w:p>
        </w:tc>
        <w:tc>
          <w:tcPr>
            <w:tcW w:type="dxa" w:w="2771"/>
          </w:tcPr>
          <w:p>
            <w:r>
              <w:t>重绘流程图：数字一致时标“是”并继续检查标题、单位、坐标轴与图例；不一致时标“否”，回到原始数据与口径核对、修正图表后重新检查，并以回路返回制图步骤。文字与任务10.3的人工逐项核对要求相符。图10-8素材升为v2，项目10升至v9。</w:t>
            </w:r>
          </w:p>
        </w:tc>
      </w:tr>
      <w:tr>
        <w:tc>
          <w:tcPr>
            <w:tcW w:type="dxa" w:w="2771"/>
          </w:tcPr>
          <w:p>
            <w:r>
              <w:t>10.1—10.3 图表来源、口径与结论</w:t>
            </w:r>
          </w:p>
        </w:tc>
        <w:tc>
          <w:tcPr>
            <w:tcW w:type="dxa" w:w="2771"/>
          </w:tcPr>
          <w:p>
            <w:r>
              <w:t>任务10.2要求每图具备标题、单位、数据来源和口径，但图10-5至图10-7的图注原未明确来源/统计口径，图10-4未明确实际付款口径。任务10.3中图10-5、图10-6结论未完整写出统计口径与比较关系。</w:t>
            </w:r>
          </w:p>
        </w:tc>
        <w:tc>
          <w:tcPr>
            <w:tcW w:type="dxa" w:w="2771"/>
          </w:tcPr>
          <w:p>
            <w:r>
              <w:t>在图10-4至图10-7图注补充示例数据来源和统计口径；图10-5结论标明按实际付款统计；图10-6结论补充账面余额口径、9月3日至8日下降306元及9月8日至12日回升300元。项目10升至v10。</w:t>
            </w:r>
          </w:p>
        </w:tc>
      </w:tr>
      <w:tr>
        <w:tc>
          <w:tcPr>
            <w:tcW w:type="dxa" w:w="2771"/>
          </w:tcPr>
          <w:p>
            <w:r>
              <w:t>9.1 收支差异与结余比较</w:t>
            </w:r>
          </w:p>
        </w:tc>
        <w:tc>
          <w:tcPr>
            <w:tcW w:type="dxa" w:w="2771"/>
          </w:tcPr>
          <w:p>
            <w:r>
              <w:t>导入段称预算结余260元与实际结余252元“不能简单地相减”，但后文直接比较得出差额-8元；同一期间、同口径预算与实际数据可以比较，真正需要后续核查的是差异成因。</w:t>
            </w:r>
          </w:p>
        </w:tc>
        <w:tc>
          <w:tcPr>
            <w:tcW w:type="dxa" w:w="2771"/>
          </w:tcPr>
          <w:p>
            <w:r>
              <w:t>改为明确可比较的差额为-8元，同时说明单凭差额无法解释原因，应继续核对收入与支出明细；与表9-1、后文分析保持一致。</w:t>
            </w:r>
          </w:p>
        </w:tc>
      </w:tr>
      <w:tr>
        <w:tc>
          <w:tcPr>
            <w:tcW w:type="dxa" w:w="2771"/>
          </w:tcPr>
          <w:p>
            <w:r>
              <w:t>9.1—9.3 比率舍入与收支说明完整性</w:t>
            </w:r>
          </w:p>
        </w:tc>
        <w:tc>
          <w:tcPr>
            <w:tcW w:type="dxa" w:w="2771"/>
          </w:tcPr>
          <w:p>
            <w:r>
              <w:t>实际结余率252÷2040约12.3529%，预算结余率260÷2100约12.3810%，均四舍五入至一位小数为12.4%，并非精确相等。另支出说明遗漏印刷材料超支48元；“广告费重要项目”缺少判断标准。</w:t>
            </w:r>
          </w:p>
        </w:tc>
        <w:tc>
          <w:tcPr>
            <w:tcW w:type="dxa" w:w="2771"/>
          </w:tcPr>
          <w:p>
            <w:r>
              <w:t>明确两个比率“保留一位小数后均为12.4%，基本一致”；补充印刷材料超支并列出相关金额；将广告费评价改为“在各项支出中排第三”，以数据描述替代无标准判断。项目9升至v10。</w:t>
            </w:r>
          </w:p>
        </w:tc>
      </w:tr>
      <w:tr>
        <w:tc>
          <w:tcPr>
            <w:tcW w:type="dxa" w:w="2771"/>
          </w:tcPr>
          <w:p>
            <w:r>
              <w:t>7.1 工资条扣款与个人信息表述</w:t>
            </w:r>
          </w:p>
        </w:tc>
        <w:tc>
          <w:tcPr>
            <w:tcW w:type="dxa" w:w="2771"/>
          </w:tcPr>
          <w:p>
            <w:r>
              <w:t>校园示例原以“临时用工”解释不扣社会保险与公积金，容易被误读为临时用工当然免缴；思政园地称工资条为“个人敏感信息”，可能混淆实务风险描述与法律敏感个人信息类别。</w:t>
            </w:r>
          </w:p>
        </w:tc>
        <w:tc>
          <w:tcPr>
            <w:tcW w:type="dxa" w:w="2771"/>
          </w:tcPr>
          <w:p>
            <w:r>
              <w:t>改为该工资条示例未列相关扣款，具体依用工关系及适用规定核实；将工资条表述为包含个人信息并可能含收入、社保等较敏感内容，不作法律类别判断。</w:t>
            </w:r>
          </w:p>
        </w:tc>
      </w:tr>
      <w:tr>
        <w:tc>
          <w:tcPr>
            <w:tcW w:type="dxa" w:w="2771"/>
          </w:tcPr>
          <w:p>
            <w:r>
              <w:t>7.2 累计预扣适用范围与校园案例</w:t>
            </w:r>
          </w:p>
        </w:tc>
        <w:tc>
          <w:tcPr>
            <w:tcW w:type="dxa" w:w="2771"/>
          </w:tcPr>
          <w:p>
            <w:r>
              <w:t>“累计收入与扣除”未注明扣缴单位范围；校园案例仅称同学工资较高，便断定应纳税所得额超过减除费用并需缴税，缺少扣除项目数据支撑。</w:t>
            </w:r>
          </w:p>
        </w:tc>
        <w:tc>
          <w:tcPr>
            <w:tcW w:type="dxa" w:w="2771"/>
          </w:tcPr>
          <w:p>
            <w:r>
              <w:t>将累计范围明确为同一扣缴单位内本年度截至本月的工资薪金收入及相应扣除；校园案例改为需综合扣除项目核算，不能只凭工资高低判断。另按国家税务总局官方资料复核七级税率与速算扣除数。项目7升至v11。</w:t>
            </w:r>
          </w:p>
        </w:tc>
      </w:tr>
      <w:tr>
        <w:tc>
          <w:tcPr>
            <w:tcW w:type="dxa" w:w="2771"/>
          </w:tcPr>
          <w:p>
            <w:r>
              <w:t>7.1 勤工助学/实习收入适用范围</w:t>
            </w:r>
          </w:p>
        </w:tc>
        <w:tc>
          <w:tcPr>
            <w:tcW w:type="dxa" w:w="2771"/>
          </w:tcPr>
          <w:p>
            <w:r>
              <w:t>校园线使用勤工助学学生工资条演示累计预扣，可能被误读为所有勤工助学/实习收入均属于工资薪金或适用相同预扣方式。</w:t>
            </w:r>
          </w:p>
        </w:tc>
        <w:tc>
          <w:tcPr>
            <w:tcW w:type="dxa" w:w="2771"/>
          </w:tcPr>
          <w:p>
            <w:r>
              <w:t>增加限定：本例按题设的累计预扣方式演示；实际应先核实收入性质及适用扣缴方法。国家税务总局关于全日制学生实习劳务报酬适用累计预扣的问答已核查。项目7升至v12。</w:t>
            </w:r>
          </w:p>
        </w:tc>
      </w:tr>
      <w:tr>
        <w:tc>
          <w:tcPr>
            <w:tcW w:type="dxa" w:w="2771"/>
          </w:tcPr>
          <w:p>
            <w:r>
              <w:t>6.2—6.3 直线法折旧与月份折算</w:t>
            </w:r>
          </w:p>
        </w:tc>
        <w:tc>
          <w:tcPr>
            <w:tcW w:type="dxa" w:w="2771"/>
          </w:tcPr>
          <w:p>
            <w:r>
              <w:t>复算4800元/240元/4年与30000元/1200元/3年的年折旧、月折旧、逐期账面价值，以及2026年中购入和分批购入的按月折算。</w:t>
            </w:r>
          </w:p>
        </w:tc>
        <w:tc>
          <w:tcPr>
            <w:tcW w:type="dxa" w:w="2771"/>
          </w:tcPr>
          <w:p>
            <w:r>
              <w:t>折旧额、累计折旧、期末账面价值和月份折算均与正文公式及残值假设相符；项目6当前v11，未发现需改正文的问题。</w:t>
            </w:r>
          </w:p>
        </w:tc>
      </w:tr>
      <w:tr>
        <w:tc>
          <w:tcPr>
            <w:tcW w:type="dxa" w:w="2771"/>
          </w:tcPr>
          <w:p>
            <w:r>
              <w:t>5.2 保本销售量的包装费口径</w:t>
            </w:r>
          </w:p>
        </w:tc>
        <w:tc>
          <w:tcPr>
            <w:tcW w:type="dxa" w:w="2771"/>
          </w:tcPr>
          <w:p>
            <w:r>
              <w:t>基准演示将海报30元与包装袋40元合计70元简化为固定费用；另设包装袋每件0.2元后，原文仍以70元作固定费用并再减每件0.2元，包装费被重复计算。</w:t>
            </w:r>
          </w:p>
        </w:tc>
        <w:tc>
          <w:tcPr>
            <w:tcW w:type="dxa" w:w="2771"/>
          </w:tcPr>
          <w:p>
            <w:r>
              <w:t>区分两种假设：基准简化法把70元全作固定费用，书签保本量140个；改按每件0.2元包装成本时，将原40元包装费改列变动成本，固定费用只保留海报30元，单位边际贡献0.3元，保本量100个。另注明义卖按次、青禾按月的固定费用期间。</w:t>
            </w:r>
          </w:p>
        </w:tc>
      </w:tr>
      <w:tr>
        <w:tc>
          <w:tcPr>
            <w:tcW w:type="dxa" w:w="2771"/>
          </w:tcPr>
          <w:p>
            <w:r>
              <w:t>5.3 AI复盘金额与商品利润口径</w:t>
            </w:r>
          </w:p>
        </w:tc>
        <w:tc>
          <w:tcPr>
            <w:tcW w:type="dxa" w:w="2771"/>
          </w:tcPr>
          <w:p>
            <w:r>
              <w:t>复盘导入段问“2650元是怎么算出来的”，但AI结论和表5-4均为250元；同段称柠檬水利润最高，现有数据仅能计算毛利，70元费用未按商品分配，无法得出单品净利润。</w:t>
            </w:r>
          </w:p>
        </w:tc>
        <w:tc>
          <w:tcPr>
            <w:tcW w:type="dxa" w:w="2771"/>
          </w:tcPr>
          <w:p>
            <w:r>
              <w:t>将“2650元”更正为“250元”；将核验问题改为能否判断净利润最高；表5-4明确AI误把毛利称为利润，并说明费用未分配时仅比较毛利和毛利率，不能断言单品净利润排序。项目5升至v13。</w:t>
            </w:r>
          </w:p>
        </w:tc>
      </w:tr>
      <w:tr>
        <w:tc>
          <w:tcPr>
            <w:tcW w:type="dxa" w:w="2771"/>
          </w:tcPr>
          <w:p>
            <w:r>
              <w:t>14 综合练习数据来源</w:t>
            </w:r>
          </w:p>
        </w:tc>
        <w:tc>
          <w:tcPr>
            <w:tcW w:type="dxa" w:w="2771"/>
          </w:tcPr>
          <w:p>
            <w:r>
              <w:t>综合练习来源段将星空读书会预算/实际收支汇总指向项目9表9-2，但该表为支出明细；总收支汇总在表9-1，可能使收入来源追溯错位。</w:t>
            </w:r>
          </w:p>
        </w:tc>
        <w:tc>
          <w:tcPr>
            <w:tcW w:type="dxa" w:w="2771"/>
          </w:tcPr>
          <w:p>
            <w:r>
              <w:t>来源改为：项目8表8-1提供流水，项目9表9-1提供预算/实际收支汇总，项目9表9-2提供支出类别明细；青禾文具来源仍为项目9表9-3。项目14升至v7。</w:t>
            </w:r>
          </w:p>
        </w:tc>
      </w:tr>
      <w:tr>
        <w:tc>
          <w:tcPr>
            <w:tcW w:type="dxa" w:w="2771"/>
          </w:tcPr>
          <w:p>
            <w:r>
              <w:t>10.2 图10-7柱高与金额差额解释</w:t>
            </w:r>
          </w:p>
        </w:tc>
        <w:tc>
          <w:tcPr>
            <w:tcW w:type="dxa" w:w="2771"/>
          </w:tcPr>
          <w:p>
            <w:r>
              <w:t>正文原仅称截断轴下两柱高度差“十分悬殊”，没有和图中1900元基线及柱高对应，读者不易区分柱长比例与真实金额差异。</w:t>
            </w:r>
          </w:p>
        </w:tc>
        <w:tc>
          <w:tcPr>
            <w:tcW w:type="dxa" w:w="2771"/>
          </w:tcPr>
          <w:p>
            <w:r>
              <w:t>补充：预算柱高200元、实际柱高140元，实际柱长为预算柱长的70%；同时说明实际差额60元只占预算2100元的2.9%，明确视觉比例并不等于金额比例。项目10升至v11。</w:t>
            </w:r>
          </w:p>
        </w:tc>
      </w:tr>
      <w:tr>
        <w:tc>
          <w:tcPr>
            <w:tcW w:type="dxa" w:w="2771"/>
          </w:tcPr>
          <w:p>
            <w:r>
              <w:t>1.1—1.2 差旅报销示例的30元差额</w:t>
            </w:r>
          </w:p>
        </w:tc>
        <w:tc>
          <w:tcPr>
            <w:tcW w:type="dxa" w:w="2771"/>
          </w:tcPr>
          <w:p>
            <w:r>
              <w:t>上下文已将180元总额拆为出租车150元与高速通行费30元，但后文有处写高速费有票据，另有处又称差额需说明，导致票据是否齐全不一致。</w:t>
            </w:r>
          </w:p>
        </w:tc>
        <w:tc>
          <w:tcPr>
            <w:tcW w:type="dxa" w:w="2771"/>
          </w:tcPr>
          <w:p>
            <w:r>
              <w:t>统一为出租车票已附、高速通行费30元凭证未提供；提示词材料和回到案例均要求补充该凭证后再审核，避免把算术差额误说成已核实支出。项目1升至v14。</w:t>
            </w:r>
          </w:p>
        </w:tc>
      </w:tr>
      <w:tr>
        <w:tc>
          <w:tcPr>
            <w:tcW w:type="dxa" w:w="2771"/>
          </w:tcPr>
          <w:p>
            <w:r>
              <w:t>项目2.2、拓展：差异率口径与政府会计基础</w:t>
            </w:r>
          </w:p>
        </w:tc>
        <w:tc>
          <w:tcPr>
            <w:tcW w:type="dxa" w:w="2771"/>
          </w:tcPr>
          <w:p>
            <w:r>
              <w:t>AI提示词中的差异率公式未明示乘以100%及百分比格式；拓展段把收付实现制笼统描述为适合行政事业单位日常收支管理，可能淡化政府会计制度下财务会计与预算会计采用不同核算基础。</w:t>
            </w:r>
          </w:p>
        </w:tc>
        <w:tc>
          <w:tcPr>
            <w:tcW w:type="dxa" w:w="2771"/>
          </w:tcPr>
          <w:p>
            <w:r>
              <w:t>提示词改为“差异额÷预算×100%，以百分比表示”；拓展段限缩为学生组织日常活动收支记录，并依据《政府会计准则——基本准则》第三条说明财务会计权责发生制、预算会计一般收付实现制。项目2升至v15。 财政部官方依据链接：http://m.mof.gov.cn/tzgg/201511/t20151110_1553267.htm</w:t>
            </w:r>
          </w:p>
        </w:tc>
      </w:tr>
      <w:tr>
        <w:tc>
          <w:tcPr>
            <w:tcW w:type="dxa" w:w="2771"/>
          </w:tcPr>
          <w:p>
            <w:r>
              <w:t>项目3.2、拓展：满减门槛与分期年化率</w:t>
            </w:r>
          </w:p>
        </w:tc>
        <w:tc>
          <w:tcPr>
            <w:tcW w:type="dxa" w:w="2771"/>
          </w:tcPr>
          <w:p>
            <w:r>
              <w:t>原价低于300元时不满足满减条件，但原结论一概称“金额较小时满减更省”，且建议500元以下都选满减；拓展将按月利率×12的名义年化率笼统称为年化利率，并把方案多付额直接称利息。</w:t>
            </w:r>
          </w:p>
        </w:tc>
        <w:tc>
          <w:tcPr>
            <w:tcW w:type="dxa" w:w="2771"/>
          </w:tcPr>
          <w:p>
            <w:r>
              <w:t>补全适用区间：低于300元选九折，300至500元（不含500元）选满减，500元相同，高于500元选九折。将超现金价部分称多付金额；拓展列明每期末、无附加费用的RATE假设，并区分名义年化率17.97%与月复利年有效率约19.53%，说明不代表监管综合年化成本。项目3升至v14。</w:t>
            </w:r>
          </w:p>
        </w:tc>
      </w:tr>
      <w:tr>
        <w:tc>
          <w:tcPr>
            <w:tcW w:type="dxa" w:w="2771"/>
          </w:tcPr>
          <w:p>
            <w:r>
              <w:t>项目4.3 表4-11、表4-12：票据合计与重复录入</w:t>
            </w:r>
          </w:p>
        </w:tc>
        <w:tc>
          <w:tcPr>
            <w:tcW w:type="dxa" w:w="2771"/>
          </w:tcPr>
          <w:p>
            <w:r>
              <w:t>原表仅汇总高铁553元、打车88元、住宿318元、过路费32元为991元，遗漏叙述中七张票据之一的停车小票；原模型合计1003元与明细差额12元，却称为重复录入，无法由表内数字支持。</w:t>
            </w:r>
          </w:p>
        </w:tc>
        <w:tc>
          <w:tcPr>
            <w:tcW w:type="dxa" w:w="2771"/>
          </w:tcPr>
          <w:p>
            <w:r>
              <w:t>增加停车小票12元，唯一票据合计改为1003元；模型原合计改为1015元，差额12元对应重复录入停车小票。更新字段更正表，项目4升至v17。</w:t>
            </w:r>
          </w:p>
        </w:tc>
      </w:tr>
      <w:tr>
        <w:tc>
          <w:tcPr>
            <w:tcW w:type="dxa" w:w="2771"/>
          </w:tcPr>
          <w:p>
            <w:r>
              <w:t>项目1.2 表1-1：提示词五要素错位</w:t>
            </w:r>
          </w:p>
        </w:tc>
        <w:tc>
          <w:tcPr>
            <w:tcW w:type="dxa" w:w="2771"/>
          </w:tcPr>
          <w:p>
            <w:r>
              <w:t>表1-1将票据事实填在“任务”栏，而“材料”栏只列报销单与出租车票，遗漏前文所述30元高速通行费凭证未提供，造成提示词结构与案例事实不完整。</w:t>
            </w:r>
          </w:p>
        </w:tc>
        <w:tc>
          <w:tcPr>
            <w:tcW w:type="dxa" w:w="2771"/>
          </w:tcPr>
          <w:p>
            <w:r>
              <w:t>“任务”栏改为明确的核对动作；“材料”栏完整列示报销单180元、出租车票150元及高速通行费30元尚无凭证。项目1升至v15。</w:t>
            </w:r>
          </w:p>
        </w:tc>
      </w:tr>
      <w:tr>
        <w:tc>
          <w:tcPr>
            <w:tcW w:type="dxa" w:w="2771"/>
          </w:tcPr>
          <w:p>
            <w:r>
              <w:t>项目5.1、5.3：收入确认与毛利率结论</w:t>
            </w:r>
          </w:p>
        </w:tc>
        <w:tc>
          <w:tcPr>
            <w:tcW w:type="dxa" w:w="2771"/>
          </w:tcPr>
          <w:p>
            <w:r>
              <w:t>原文将企业收入确认概括为商品交付或款项已收/有把握收到，未区分权责发生制确认条件与收付实现制；校园赞助段也把“确认会收到”视为足够条件。另称单次义卖中书签贡献“最稳定”，缺少跨期数据支持。</w:t>
            </w:r>
          </w:p>
        </w:tc>
        <w:tc>
          <w:tcPr>
            <w:tcW w:type="dxa" w:w="2771"/>
          </w:tcPr>
          <w:p>
            <w:r>
              <w:t>按会计基础分别说明确认时点；赊销例子限定为履约完成且满足确认条件；校园赞助按收付口径与权责发生制分别处理。将“最稳定”改为可由单期数据支持的毛利/毛利率比较，并说明费用未分摊时不能推断单品净利润。项目5升至v14。</w:t>
            </w:r>
          </w:p>
        </w:tc>
      </w:tr>
      <w:tr>
        <w:tc>
          <w:tcPr>
            <w:tcW w:type="dxa" w:w="2771"/>
          </w:tcPr>
          <w:p>
            <w:r>
              <w:t>项目6.2 职业线购入年度折旧</w:t>
            </w:r>
          </w:p>
        </w:tc>
        <w:tc>
          <w:tcPr>
            <w:tcW w:type="dxa" w:w="2771"/>
          </w:tcPr>
          <w:p>
            <w:r>
              <w:t>前文说明6台电脑分批于2026年1月、4月购入，2026年购入年度按次月起按月折算；“回到案例”却称每年折旧均为9600元，容易把完整折旧年度额误作购入年度日历折旧。</w:t>
            </w:r>
          </w:p>
        </w:tc>
        <w:tc>
          <w:tcPr>
            <w:tcW w:type="dxa" w:w="2771"/>
          </w:tcPr>
          <w:p>
            <w:r>
              <w:t>明确9600元为完整12个月的年度折旧额；2026购入年度按每台购入月份折算。项目6升至v12。</w:t>
            </w:r>
          </w:p>
        </w:tc>
      </w:tr>
      <w:tr>
        <w:tc>
          <w:tcPr>
            <w:tcW w:type="dxa" w:w="2771"/>
          </w:tcPr>
          <w:p>
            <w:r>
              <w:t>项目6.1—6.2：固定资产账面价值</w:t>
            </w:r>
          </w:p>
        </w:tc>
        <w:tc>
          <w:tcPr>
            <w:tcW w:type="dxa" w:w="2771"/>
          </w:tcPr>
          <w:p>
            <w:r>
              <w:t>正文将账面价值一概写为原值减累计折旧，未说明固定资产已计提减值准备时也应从账面价值中扣除。</w:t>
            </w:r>
          </w:p>
        </w:tc>
        <w:tc>
          <w:tcPr>
            <w:tcW w:type="dxa" w:w="2771"/>
          </w:tcPr>
          <w:p>
            <w:r>
              <w:t>补充一般口径“原值－累计折旧－已计提减值准备”，并明确本章示例假设无减值，故简化为原值减累计折旧。项目6升至v13。</w:t>
            </w:r>
          </w:p>
        </w:tc>
      </w:tr>
      <w:tr>
        <w:tc>
          <w:tcPr>
            <w:tcW w:type="dxa" w:w="2771"/>
          </w:tcPr>
          <w:p>
            <w:r>
              <w:t>项目9.1及拓展：权责发生制收入确认；项目9.3管理层示例</w:t>
            </w:r>
          </w:p>
        </w:tc>
        <w:tc>
          <w:tcPr>
            <w:tcW w:type="dxa" w:w="2771"/>
          </w:tcPr>
          <w:p>
            <w:r>
              <w:t>原文称只要取得收款权即可确认收入，并以“10月底开出销售单、11月收款”直接作为10月权责发生制收入，未交代商品交付或履约条件；另称偏差“责任人为小何”，可能将行动跟进误读为对差异成因的归责。</w:t>
            </w:r>
          </w:p>
        </w:tc>
        <w:tc>
          <w:tcPr>
            <w:tcW w:type="dxa" w:w="2771"/>
          </w:tcPr>
          <w:p>
            <w:r>
              <w:t>明确企业收入须按适用准则判断履约与控制权转移等确认条件，例子限定商品已交付并满足条件；仅开销售单/取得收款权不足以确认。将小何称为会费催收跟进人而非差异责任人。项目9升至v11。</w:t>
            </w:r>
          </w:p>
        </w:tc>
      </w:tr>
      <w:tr>
        <w:tc>
          <w:tcPr>
            <w:tcW w:type="dxa" w:w="2771"/>
          </w:tcPr>
          <w:p>
            <w:r>
              <w:t>项目2拓展：权责发生制收入与费用确认</w:t>
            </w:r>
          </w:p>
        </w:tc>
        <w:tc>
          <w:tcPr>
            <w:tcW w:type="dxa" w:w="2771"/>
          </w:tcPr>
          <w:p>
            <w:r>
              <w:t>原表述把权责发生制简化为权利义务发生即记录，并以活动日期或发票时间直接确定费用期间，未交代服务提供、物料验收及适用的确认条件。</w:t>
            </w:r>
          </w:p>
        </w:tc>
        <w:tc>
          <w:tcPr>
            <w:tcW w:type="dxa" w:w="2771"/>
          </w:tcPr>
          <w:p>
            <w:r>
              <w:t>改为按交易已发生并满足适用确认条件归属期间；明确活动服务在9月已提供、宣传物料在9月已验收的题设事实，再说明虽10月付款仍归属9月。项目2升至v16。</w:t>
            </w:r>
          </w:p>
        </w:tc>
      </w:tr>
      <w:tr>
        <w:tc>
          <w:tcPr>
            <w:tcW w:type="dxa" w:w="2771"/>
          </w:tcPr>
          <w:p>
            <w:r>
              <w:t>项目14.1、14.3：票据证据范围与图表坐标轴</w:t>
            </w:r>
          </w:p>
        </w:tc>
        <w:tc>
          <w:tcPr>
            <w:tcW w:type="dxa" w:w="2771"/>
          </w:tcPr>
          <w:p>
            <w:r>
              <w:t>“票据是解释数字的唯一依据”与同任务“票据和业务资料缺一不可”相矛盾；要求单张票据回答用途等信息超出其自身记载范围。另称所有图表坐标轴从零开始，与项目10对折线图纵轴可按分析目标设置的规定冲突。</w:t>
            </w:r>
          </w:p>
        </w:tc>
        <w:tc>
          <w:tcPr>
            <w:tcW w:type="dxa" w:w="2771"/>
          </w:tcPr>
          <w:p>
            <w:r>
              <w:t>改为每笔业务由票据和配套资料共同提供可追溯依据；图表要求区分金额柱状图与折线图的纵轴原则，并避免误导。项目14升至v8。</w:t>
            </w:r>
          </w:p>
        </w:tc>
      </w:tr>
      <w:tr>
        <w:tc>
          <w:tcPr>
            <w:tcW w:type="dxa" w:w="2771"/>
          </w:tcPr>
          <w:p>
            <w:r>
              <w:t>项目12.2：工具结果的确定性边界</w:t>
            </w:r>
          </w:p>
        </w:tc>
        <w:tc>
          <w:tcPr>
            <w:tcW w:type="dxa" w:w="2771"/>
          </w:tcPr>
          <w:p>
            <w:r>
              <w:t>原文概括所有工具都能对相同输入始终返回同一结果，容易把检索工具与计算/规则校验工具的行为混为一谈。</w:t>
            </w:r>
          </w:p>
        </w:tc>
        <w:tc>
          <w:tcPr>
            <w:tcW w:type="dxa" w:w="2771"/>
          </w:tcPr>
          <w:p>
            <w:r>
              <w:t>明确计算和规则校验类工具须固定输入与规则版本；知识库检索还受索引版本、设置影响，需记录来源与版本。项目12升至v4。</w:t>
            </w:r>
          </w:p>
        </w:tc>
      </w:tr>
      <w:tr>
        <w:tc>
          <w:tcPr>
            <w:tcW w:type="dxa" w:w="2771"/>
          </w:tcPr>
          <w:p>
            <w:r>
              <w:t>项目13.3：匿名化与其他数据义务</w:t>
            </w:r>
          </w:p>
        </w:tc>
        <w:tc>
          <w:tcPr>
            <w:tcW w:type="dxa" w:w="2771"/>
          </w:tcPr>
          <w:p>
            <w:r>
              <w:t>原文称匿名化可“真正解除使用限制”，范围过宽，容易误解为匿名化后不再受数据安全、保密等规则约束。</w:t>
            </w:r>
          </w:p>
        </w:tc>
        <w:tc>
          <w:tcPr>
            <w:tcW w:type="dxa" w:w="2771"/>
          </w:tcPr>
          <w:p>
            <w:r>
              <w:t>限定为匿名化后不属于《个人信息保护法》所称个人信息，同时明确其他数据安全、保密及适用要求仍须遵守。法规条文复核。项目13升至v8。</w:t>
            </w:r>
          </w:p>
        </w:tc>
      </w:tr>
      <w:tr>
        <w:tc>
          <w:tcPr>
            <w:tcW w:type="dxa" w:w="2771"/>
          </w:tcPr>
          <w:p>
            <w:r>
              <w:t>项目4.1：发票代码与数电发票号码</w:t>
            </w:r>
          </w:p>
        </w:tc>
        <w:tc>
          <w:tcPr>
            <w:tcW w:type="dxa" w:w="2771"/>
          </w:tcPr>
          <w:p>
            <w:r>
              <w:t>通用发票核对清单和识别提示词要求提供“发票代码与号码”，未区分全面数字化电子发票。数电发票采用20位发票号码，票面不再使用“发票代码+号码”识别方式。</w:t>
            </w:r>
          </w:p>
        </w:tc>
        <w:tc>
          <w:tcPr>
            <w:tcW w:type="dxa" w:w="2771"/>
          </w:tcPr>
          <w:p>
            <w:r>
              <w:t>明确按票种核对发票代码（如适用）与号码；数电发票按20位发票号码查验，并区分纸质票与数电发票的官方查验渠道。另将【拓展】中唯一性检查的字段说法同步按票种限定，保持全项目一致。项目4升至v21。依据：国家税务总局公告2024年第11号。</w:t>
            </w:r>
          </w:p>
        </w:tc>
      </w:tr>
      <w:tr>
        <w:tc>
          <w:tcPr>
            <w:tcW w:type="dxa" w:w="2771"/>
          </w:tcPr>
          <w:p>
            <w:r>
              <w:t>项目1.3：三步核查与最终采纳</w:t>
            </w:r>
          </w:p>
        </w:tc>
        <w:tc>
          <w:tcPr>
            <w:tcW w:type="dxa" w:w="2771"/>
          </w:tcPr>
          <w:p>
            <w:r>
              <w:t>原文称来源、计算和常识三步全部通过后，AI结论“才可以采用”，容易将有限核查误写成充分保证，并与后续项目保留人工判断、制度核对和审批的要求不一致。</w:t>
            </w:r>
          </w:p>
        </w:tc>
        <w:tc>
          <w:tcPr>
            <w:tcW w:type="dxa" w:w="2771"/>
          </w:tcPr>
          <w:p>
            <w:r>
              <w:t>改为三步未发现问题仅表示这些检查点暂未发现问题；最终采纳仍由人结合业务事实、适用制度和审批要求判断。项目1升至v16。</w:t>
            </w:r>
          </w:p>
        </w:tc>
      </w:tr>
      <w:tr>
        <w:tc>
          <w:tcPr>
            <w:tcW w:type="dxa" w:w="2771"/>
          </w:tcPr>
          <w:p>
            <w:r>
              <w:t>项目1.1：五要素与问题句式</w:t>
            </w:r>
          </w:p>
        </w:tc>
        <w:tc>
          <w:tcPr>
            <w:tcW w:type="dxa" w:w="2771"/>
          </w:tcPr>
          <w:p>
            <w:r>
              <w:t>五要素定义包含“何时花”，但示范句式将问题说成四部分，遗漏时间要素，与本任务核心概念不一致。</w:t>
            </w:r>
          </w:p>
        </w:tc>
        <w:tc>
          <w:tcPr>
            <w:tcW w:type="dxa" w:w="2771"/>
          </w:tcPr>
          <w:p>
            <w:r>
              <w:t>将示范句式调整为五部分，明确写入“何时花”，与五要素定义、示例和后文操作一致。项目1升至v17。</w:t>
            </w:r>
          </w:p>
        </w:tc>
      </w:tr>
      <w:tr>
        <w:tc>
          <w:tcPr>
            <w:tcW w:type="dxa" w:w="2771"/>
          </w:tcPr>
          <w:p>
            <w:r>
              <w:t>项目8.1与项目拓展：纯文本AI和表格/计算工具边界</w:t>
            </w:r>
          </w:p>
        </w:tc>
        <w:tc>
          <w:tcPr>
            <w:tcW w:type="dxa" w:w="2771"/>
          </w:tcPr>
          <w:p>
            <w:r>
              <w:t>将大模型概括为“并不会在表格中查找并求和”，未区分纯文本模型输出与带表格读取、代码或计算工具的AI，且与项目12工具调用设计的边界表述不够一致。</w:t>
            </w:r>
          </w:p>
        </w:tc>
        <w:tc>
          <w:tcPr>
            <w:tcW w:type="dxa" w:w="2771"/>
          </w:tcPr>
          <w:p>
            <w:r>
              <w:t>改为纯文本生成不等于已实际读表求和；使用带工具的AI时，须确认工具确实调用、数据范围正确，并用公式或人工复算。项目拓展同步明确纯文本输出未经计算验证。项目8升至v15。</w:t>
            </w:r>
          </w:p>
        </w:tc>
      </w:tr>
      <w:tr>
        <w:tc>
          <w:tcPr>
            <w:tcW w:type="dxa" w:w="2771"/>
          </w:tcPr>
          <w:p>
            <w:r>
              <w:t>12.3 表12-5“超标未提示”统计口径</w:t>
            </w:r>
          </w:p>
        </w:tc>
        <w:tc>
          <w:tcPr>
            <w:tcW w:type="dxa" w:w="2771"/>
          </w:tcPr>
          <w:p>
            <w:r>
              <w:t>该行题目数为4，但同时列正确发现3、漏报1及误报1；叙述又指出存在一个误报样本，导致误报分母与正负样本归属不清。</w:t>
            </w:r>
          </w:p>
        </w:tc>
        <w:tc>
          <w:tcPr>
            <w:tcW w:type="dxa" w:w="2771"/>
          </w:tcPr>
          <w:p>
            <w:r>
              <w:t>将该类题目数改为5，并说明其中4题实际超标（正确发现3、漏报1），另1题为新版例外情形却被误报。图12-4漏报数不变。项目12升至v5。</w:t>
            </w:r>
          </w:p>
        </w:tc>
      </w:tr>
      <w:tr>
        <w:tc>
          <w:tcPr>
            <w:tcW w:type="dxa" w:w="2771"/>
          </w:tcPr>
          <w:p>
            <w:r>
              <w:t>7.2 表7-4累计减除费用月份</w:t>
            </w:r>
          </w:p>
        </w:tc>
        <w:tc>
          <w:tcPr>
            <w:tcW w:type="dxa" w:w="2771"/>
          </w:tcPr>
          <w:p>
            <w:r>
              <w:t>原文以10月作为“本年度第一次发放工资”并令累计减除费用仅为5000元，未处理首次取得工资薪金的居民个人可能按年初至本月月份数累计减除费用的规则。</w:t>
            </w:r>
          </w:p>
        </w:tc>
        <w:tc>
          <w:tcPr>
            <w:tcW w:type="dxa" w:w="2771"/>
          </w:tcPr>
          <w:p>
            <w:r>
              <w:t>将王涛职业线工资示例统一设为2026年1月和2月，使累计月份与演算一致；保留一月累计数和税额。实际首次取得工资薪金的居民个人应按现行规则判断截至本月的累计减除费用。项目7升至v13。</w:t>
            </w:r>
          </w:p>
        </w:tc>
      </w:tr>
      <w:tr>
        <w:tc>
          <w:tcPr>
            <w:tcW w:type="dxa" w:w="2771"/>
          </w:tcPr>
          <w:p>
            <w:r>
              <w:t>6.1—6.2 固定资产定义、闲置折旧及折旧年度口径</w:t>
            </w:r>
          </w:p>
        </w:tc>
        <w:tc>
          <w:tcPr>
            <w:tcW w:type="dxa" w:w="2771"/>
          </w:tcPr>
          <w:p>
            <w:r>
              <w:t>固定资产定义将“单位价值较高”列作特征，容易被读作独立门槛；闲置资产继续折旧的表述未注明提足折旧例外；社团折旧表按完整折旧年度计算，但与按自然年度列示的2026、2027年末账面价值并置，读者可能混淆。</w:t>
            </w:r>
          </w:p>
        </w:tc>
        <w:tc>
          <w:tcPr>
            <w:tcW w:type="dxa" w:w="2771"/>
          </w:tcPr>
          <w:p>
            <w:r>
              <w:t>按财政部《企业会计准则第4号——固定资产》明确固定资产的持有目的、使用寿命与确认条件，不把金额写成普遍门槛；为闲置折旧说明补充提足折旧和处置例外；将表6-3标为完整折旧年度并注明首期2026年4月至2027年3月，区分自然年度口径。项目6升至v14。</w:t>
            </w:r>
          </w:p>
        </w:tc>
      </w:tr>
      <w:tr>
        <w:tc>
          <w:tcPr>
            <w:tcW w:type="dxa" w:w="2771"/>
          </w:tcPr>
          <w:p>
            <w:r>
              <w:t>12.3 表12-5“正确发现”指标名称</w:t>
            </w:r>
          </w:p>
        </w:tc>
        <w:tc>
          <w:tcPr>
            <w:tcW w:type="dxa" w:w="2771"/>
          </w:tcPr>
          <w:p>
            <w:r>
              <w:t>该列也覆盖“正常报销”样本中10项正确判断，将其统称“正确发现”不够准确；且行内已有正确判断与漏报、误报分列。</w:t>
            </w:r>
          </w:p>
        </w:tc>
        <w:tc>
          <w:tcPr>
            <w:tcW w:type="dxa" w:w="2771"/>
          </w:tcPr>
          <w:p>
            <w:r>
              <w:t>将列名调整为“正确判断”，保留超标样本说明为“正确识别3题、漏报1题”，避免将正常样本说成发现问题。项目12升至v6。</w:t>
            </w:r>
          </w:p>
        </w:tc>
      </w:tr>
      <w:tr>
        <w:tc>
          <w:tcPr>
            <w:tcW w:type="dxa" w:w="2771"/>
          </w:tcPr>
          <w:p>
            <w:r>
              <w:t>14.1 综合练习票据样例；终篇拓展结构</w:t>
            </w:r>
          </w:p>
        </w:tc>
        <w:tc>
          <w:tcPr>
            <w:tcW w:type="dxa" w:w="2771"/>
          </w:tcPr>
          <w:p>
            <w:r>
              <w:t>综合练习第1项引用任务14.1的叙事情境，但此前没有足够的具体票据与业务资料供学生完成整理；项目14终篇没有单列【拓展】标记。</w:t>
            </w:r>
          </w:p>
        </w:tc>
        <w:tc>
          <w:tcPr>
            <w:tcW w:type="dxa" w:w="2771"/>
          </w:tcPr>
          <w:p>
            <w:r>
              <w:t>新增表14-3模拟票据资料，覆盖品名缺失、用途缺失、缺少审批材料、待退还押金及日期说明等核验情形，并明确不用于重算表14-2汇总数；任务要求引用表14-3，学生无需收集或自拟材料。终篇以跨项目综合练习与模块总结收束，不单列【拓展】属合理结构，已在记录注明。项目14升至v9。</w:t>
            </w:r>
          </w:p>
        </w:tc>
      </w:tr>
      <w:tr>
        <w:tc>
          <w:tcPr>
            <w:tcW w:type="dxa" w:w="2771"/>
          </w:tcPr>
          <w:p>
            <w:r>
              <w:t>4.1 表4-4及“收据/小票不能报销”的表述</w:t>
            </w:r>
          </w:p>
        </w:tc>
        <w:tc>
          <w:tcPr>
            <w:tcW w:type="dxa" w:w="2771"/>
          </w:tcPr>
          <w:p>
            <w:r>
              <w:t>通用正文已说明单位制度差异，但校园分类表将收据、小票写成不能报销，可能被理解为不分单位制度的一般结论。</w:t>
            </w:r>
          </w:p>
        </w:tc>
        <w:tc>
          <w:tcPr>
            <w:tcW w:type="dxa" w:w="2771"/>
          </w:tcPr>
          <w:p>
            <w:r>
              <w:t>将处理结论限定为本例学院要求：彩带收据需按学院制度补充；超市小票暂不单独作为报销依据，补充认可材料前不列为已通过。同步说明相关支出仍须如实记账。项目4升至v22。</w:t>
            </w:r>
          </w:p>
        </w:tc>
      </w:tr>
      <w:tr>
        <w:tc>
          <w:tcPr>
            <w:tcW w:type="dxa" w:w="2771"/>
          </w:tcPr>
          <w:p>
            <w:r>
              <w:t>13.3 附录法规与准则条文索引；匿名化定义</w:t>
            </w:r>
          </w:p>
        </w:tc>
        <w:tc>
          <w:tcPr>
            <w:tcW w:type="dxa" w:w="2771"/>
          </w:tcPr>
          <w:p>
            <w:r>
              <w:t>正文引用《政府会计准则——基本准则》，但原索引表遗漏该准则；匿名化的说明使用“无法被合理识别”，不是法律定义的原文标准。</w:t>
            </w:r>
          </w:p>
        </w:tc>
        <w:tc>
          <w:tcPr>
            <w:tcW w:type="dxa" w:w="2771"/>
          </w:tcPr>
          <w:p>
            <w:r>
              <w:t>补列财政部令第78号《政府会计准则——基本准则》第三条；将索引标题改为“法规与准则条文索引表”；匿名化定义改为“无法识别特定自然人且不能复原”，与《个人信息保护法》第七十三条第四项一致。项目13升至v9。</w:t>
            </w:r>
          </w:p>
        </w:tc>
      </w:tr>
      <w:tr>
        <w:tc>
          <w:tcPr>
            <w:tcW w:type="dxa" w:w="2771"/>
          </w:tcPr>
          <w:p>
            <w:r>
              <w:t>11 综合练习表11-8：示例制度资料缺失</w:t>
            </w:r>
          </w:p>
        </w:tc>
        <w:tc>
          <w:tcPr>
            <w:tcW w:type="dxa" w:w="2771"/>
          </w:tcPr>
          <w:p>
            <w:r>
              <w:t>原表只说明青禾文具制度共有二十四条及版本情况，没有提供条款原文、适用对象或版本差异，无法支撑整理制度、知识库问答与五类测试任务。</w:t>
            </w:r>
          </w:p>
        </w:tc>
        <w:tc>
          <w:tcPr>
            <w:tcW w:type="dxa" w:w="2771"/>
          </w:tcPr>
          <w:p>
            <w:r>
              <w:t>提供教学用模拟制度的现行条款节选与两个旧版对照条文，并写明材料范围和拒答口径；要求基于表内数据完成练习，不要求自行收集制度。项目11升至v7。</w:t>
            </w:r>
          </w:p>
        </w:tc>
      </w:tr>
      <w:tr>
        <w:tc>
          <w:tcPr>
            <w:tcW w:type="dxa" w:w="2771"/>
          </w:tcPr>
          <w:p>
            <w:r>
              <w:t>图像引用清单v41：正文文件版本映射</w:t>
            </w:r>
          </w:p>
        </w:tc>
        <w:tc>
          <w:tcPr>
            <w:tcW w:type="dxa" w:w="2771"/>
          </w:tcPr>
          <w:p>
            <w:r>
              <w:t>项目4、11、13更新正文版本后，v40清单的“正文文件”字段仍指向已移除的旧版本，无法用于当前文件复验。</w:t>
            </w:r>
          </w:p>
        </w:tc>
        <w:tc>
          <w:tcPr>
            <w:tcW w:type="dxa" w:w="2771"/>
          </w:tcPr>
          <w:p>
            <w:r>
              <w:t>更新为项目4 v22、项目11 v7、项目13 v9；重新校验85项素材与内嵌媒体哈希，均匹配。清单升至v41。</w:t>
            </w:r>
          </w:p>
        </w:tc>
      </w:tr>
      <w:tr>
        <w:tc>
          <w:tcPr>
            <w:tcW w:type="dxa" w:w="2771"/>
          </w:tcPr>
          <w:p>
            <w:r>
              <w:t>11 综合练习表11-8分页可读性</w:t>
            </w:r>
          </w:p>
        </w:tc>
        <w:tc>
          <w:tcPr>
            <w:tcW w:type="dxa" w:w="2771"/>
          </w:tcPr>
          <w:p>
            <w:r>
              <w:t>新增模拟制度资料表包含多条较长条款，跨页时若不重复标题行或拆分单条内容，阅读关联可能受影响。</w:t>
            </w:r>
          </w:p>
        </w:tc>
        <w:tc>
          <w:tcPr>
            <w:tcW w:type="dxa" w:w="2771"/>
          </w:tcPr>
          <w:p>
            <w:r>
              <w:t>为表11-8首行设置跨页重复标题，并设置各资料行不拆分；实际分页与打印效果仍待渲染验收。项目11升至v8。</w:t>
            </w:r>
          </w:p>
        </w:tc>
      </w:tr>
      <w:tr>
        <w:tc>
          <w:tcPr>
            <w:tcW w:type="dxa" w:w="2771"/>
          </w:tcPr>
          <w:p>
            <w:r>
              <w:t>图像引用清单v42：项目11版本映射</w:t>
            </w:r>
          </w:p>
        </w:tc>
        <w:tc>
          <w:tcPr>
            <w:tcW w:type="dxa" w:w="2771"/>
          </w:tcPr>
          <w:p>
            <w:r>
              <w:t>项目11升级到v8设置表格分页属性后，v41清单仍引用项目11 v7。</w:t>
            </w:r>
          </w:p>
        </w:tc>
        <w:tc>
          <w:tcPr>
            <w:tcW w:type="dxa" w:w="2771"/>
          </w:tcPr>
          <w:p>
            <w:r>
              <w:t>更新项目11文件名并再次校验85项图片哈希，均匹配。清单升至v42。</w:t>
            </w:r>
          </w:p>
        </w:tc>
      </w:tr>
      <w:tr>
        <w:tc>
          <w:tcPr>
            <w:tcW w:type="dxa" w:w="2771"/>
          </w:tcPr>
          <w:p>
            <w:r>
              <w:t>14.2 可退场地押金的分类与合计</w:t>
            </w:r>
          </w:p>
        </w:tc>
        <w:tc>
          <w:tcPr>
            <w:tcW w:type="dxa" w:w="2771"/>
          </w:tcPr>
          <w:p>
            <w:r>
              <w:t>原文将押金被误判为已退还描述为“支出合计少60元”，但可退押金属于待退还往来款，不应计入普通活动费用；且表14-3说明其不用于重算表14-2。</w:t>
            </w:r>
          </w:p>
        </w:tc>
        <w:tc>
          <w:tcPr>
            <w:tcW w:type="dxa" w:w="2771"/>
          </w:tcPr>
          <w:p>
            <w:r>
              <w:t>改为待退还款项台账少计60元，合同和回单核实后单独跟踪，明确不计入普通活动费用或表14-2支出合计。项目14升至v10。</w:t>
            </w:r>
          </w:p>
        </w:tc>
      </w:tr>
      <w:tr>
        <w:tc>
          <w:tcPr>
            <w:tcW w:type="dxa" w:w="2771"/>
          </w:tcPr>
          <w:p>
            <w:r>
              <w:t>图像引用清单v43：项目14版本映射</w:t>
            </w:r>
          </w:p>
        </w:tc>
        <w:tc>
          <w:tcPr>
            <w:tcW w:type="dxa" w:w="2771"/>
          </w:tcPr>
          <w:p>
            <w:r>
              <w:t>项目14升至v10后，v42清单仍指向v9。</w:t>
            </w:r>
          </w:p>
        </w:tc>
        <w:tc>
          <w:tcPr>
            <w:tcW w:type="dxa" w:w="2771"/>
          </w:tcPr>
          <w:p>
            <w:r>
              <w:t>将映射更新为项目14 v10，并再次校验85项素材与内嵌媒体哈希，全部匹配。清单升至v43。</w:t>
            </w:r>
          </w:p>
        </w:tc>
      </w:tr>
      <w:tr>
        <w:tc>
          <w:tcPr>
            <w:tcW w:type="dxa" w:w="2771"/>
          </w:tcPr>
          <w:p>
            <w:r>
              <w:t>14.1、14.2、14.3、14.4 票据证据边界、运费分类与AI数据输入</w:t>
            </w:r>
          </w:p>
        </w:tc>
        <w:tc>
          <w:tcPr>
            <w:tcW w:type="dxa" w:w="2771"/>
          </w:tcPr>
          <w:p>
            <w:r>
              <w:t>原文将业务资料与票据一概要求“缺一不可”；未说明快递费是客户配送还是采购运费，却直接归销售费用并称高出近两成；AI操作未统一提醒个人信息处理边界。</w:t>
            </w:r>
          </w:p>
        </w:tc>
        <w:tc>
          <w:tcPr>
            <w:tcW w:type="dxa" w:w="2771"/>
          </w:tcPr>
          <w:p>
            <w:r>
              <w:t>按事项性质及单位制度判断支持材料；限定为本例客户配送运费并删除无依据比较；在AI操作中补入处理依据、使用权限、最小必要和脱敏要求。项目14升至v11。</w:t>
            </w:r>
          </w:p>
        </w:tc>
      </w:tr>
      <w:tr>
        <w:tc>
          <w:tcPr>
            <w:tcW w:type="dxa" w:w="2771"/>
          </w:tcPr>
          <w:p>
            <w:r>
              <w:t>14.1 AI整理票据前的数据保护</w:t>
            </w:r>
          </w:p>
        </w:tc>
        <w:tc>
          <w:tcPr>
            <w:tcW w:type="dxa" w:w="2771"/>
          </w:tcPr>
          <w:p>
            <w:r>
              <w:t>首次向大模型提交票据影像或文字说明的步骤未说明处理依据、使用权限、最小必要及个人信息脱敏要求。</w:t>
            </w:r>
          </w:p>
        </w:tc>
        <w:tc>
          <w:tcPr>
            <w:tcW w:type="dxa" w:w="2771"/>
          </w:tcPr>
          <w:p>
            <w:r>
              <w:t>在任务14.1 AI操作前补充上述检查，并对不宜上传内容改用模拟数据。项目14升至v12。</w:t>
            </w:r>
          </w:p>
        </w:tc>
      </w:tr>
      <w:tr>
        <w:tc>
          <w:tcPr>
            <w:tcW w:type="dxa" w:w="2771"/>
          </w:tcPr>
          <w:p>
            <w:r>
              <w:t>图像引用清单v45：项目14版本映射</w:t>
            </w:r>
          </w:p>
        </w:tc>
        <w:tc>
          <w:tcPr>
            <w:tcW w:type="dxa" w:w="2771"/>
          </w:tcPr>
          <w:p>
            <w:r>
              <w:t>项目14升至v12后，v44仍引用v11。</w:t>
            </w:r>
          </w:p>
        </w:tc>
        <w:tc>
          <w:tcPr>
            <w:tcW w:type="dxa" w:w="2771"/>
          </w:tcPr>
          <w:p>
            <w:r>
              <w:t>更新项目14正文文件名，并复核85项图像素材与嵌入媒体SHA-256，全部匹配。清单升至v45。</w:t>
            </w:r>
          </w:p>
        </w:tc>
      </w:tr>
      <w:tr>
        <w:tc>
          <w:tcPr>
            <w:tcW w:type="dxa" w:w="2771"/>
          </w:tcPr>
          <w:p>
            <w:r>
              <w:t>5.3 图5-4及表5-4捐赠旧书毛利率</w:t>
            </w:r>
          </w:p>
        </w:tc>
        <w:tc>
          <w:tcPr>
            <w:tcW w:type="dxa" w:w="2771"/>
          </w:tcPr>
          <w:p>
            <w:r>
              <w:t>按“捐赠即无成本”解释毛利率100%，未说明这是本例的简化数据口径。</w:t>
            </w:r>
          </w:p>
        </w:tc>
        <w:tc>
          <w:tcPr>
            <w:tcW w:type="dxa" w:w="2771"/>
          </w:tcPr>
          <w:p>
            <w:r>
              <w:t>明确本例未为捐赠旧书分配采购成本，毛利率100%仅按本例数据计算，避免扩展成普遍会计规则。项目5升至v15。</w:t>
            </w:r>
          </w:p>
        </w:tc>
      </w:tr>
      <w:tr>
        <w:tc>
          <w:tcPr>
            <w:tcW w:type="dxa" w:w="2771"/>
          </w:tcPr>
          <w:p>
            <w:r>
              <w:t>项目2.2 项目总结：图2-7导语</w:t>
            </w:r>
          </w:p>
        </w:tc>
        <w:tc>
          <w:tcPr>
            <w:tcW w:type="dxa" w:w="2771"/>
          </w:tcPr>
          <w:p>
            <w:r>
              <w:t>图片前句以“图2-7”起头，紧邻图片后又有正式图注“图2-7 本项目知识图谱”，形成重复编号且导语不成句。</w:t>
            </w:r>
          </w:p>
        </w:tc>
        <w:tc>
          <w:tcPr>
            <w:tcW w:type="dxa" w:w="2771"/>
          </w:tcPr>
          <w:p>
            <w:r>
              <w:t>将前句改为“下图以知识图谱的形式归纳本项目的主要概念与关系。”；原图片、媒体部件及下方图注保留。项目2升至v17。</w:t>
            </w:r>
          </w:p>
        </w:tc>
      </w:tr>
      <w:tr>
        <w:tc>
          <w:tcPr>
            <w:tcW w:type="dxa" w:w="2771"/>
          </w:tcPr>
          <w:p>
            <w:r>
              <w:t>项目5 项目拓展：存货计价方法</w:t>
            </w:r>
          </w:p>
        </w:tc>
        <w:tc>
          <w:tcPr>
            <w:tcW w:type="dxa" w:w="2771"/>
          </w:tcPr>
          <w:p>
            <w:r>
              <w:t>拓展区最后另有未标所属任务的“项目拓展”标题，正文又重复使用【拓展】标签；不符合每项拓展对应任务、统一置于项目末尾的结构。</w:t>
            </w:r>
          </w:p>
        </w:tc>
        <w:tc>
          <w:tcPr>
            <w:tcW w:type="dxa" w:w="2771"/>
          </w:tcPr>
          <w:p>
            <w:r>
              <w:t>调整为“任务5.1 拓展：分批进货与销货成本计价”，删除正文重复标签，并把“两种常见方法”限定为本段示例。项目5升至v16。</w:t>
            </w:r>
          </w:p>
        </w:tc>
      </w:tr>
      <w:tr>
        <w:tc>
          <w:tcPr>
            <w:tcW w:type="dxa" w:w="2771"/>
          </w:tcPr>
          <w:p>
            <w:r>
              <w:t>项目6.1、6.2 项目拓展</w:t>
            </w:r>
          </w:p>
        </w:tc>
        <w:tc>
          <w:tcPr>
            <w:tcW w:type="dxa" w:w="2771"/>
          </w:tcPr>
          <w:p>
            <w:r>
              <w:t>任务6.1拓展将单位金额标准写得像固定资产确认条件，与正文“并非只看金额门槛”冲突；项目拓展的加速折旧段落未标所属任务。</w:t>
            </w:r>
          </w:p>
        </w:tc>
        <w:tc>
          <w:tcPr>
            <w:tcW w:type="dxa" w:w="2771"/>
          </w:tcPr>
          <w:p>
            <w:r>
              <w:t>明确实物管理金额标准不能单独作为会计确认依据，并按持有目的、使用寿命、相关经济利益或服务潜力、可靠计量及适用准则/政策判断；将加速折旧段归入任务6.2拓展。项目6升至v15。</w:t>
            </w:r>
          </w:p>
        </w:tc>
      </w:tr>
      <w:tr>
        <w:tc>
          <w:tcPr>
            <w:tcW w:type="dxa" w:w="2771"/>
          </w:tcPr>
          <w:p>
            <w:r>
              <w:t>项目14 学习目标标题样式</w:t>
            </w:r>
          </w:p>
        </w:tc>
        <w:tc>
          <w:tcPr>
            <w:tcW w:type="dxa" w:w="2771"/>
          </w:tcPr>
          <w:p>
            <w:r>
              <w:t>“学习目标”在项目14使用Heading 3，而其他项目同级板块使用Heading 2，导航层级不一致。</w:t>
            </w:r>
          </w:p>
        </w:tc>
        <w:tc>
          <w:tcPr>
            <w:tcW w:type="dxa" w:w="2771"/>
          </w:tcPr>
          <w:p>
            <w:r>
              <w:t>将该段标题层级调整为Heading 2；正文、图片及图注不变。项目14升至v13。</w:t>
            </w:r>
          </w:p>
        </w:tc>
      </w:tr>
      <w:tr>
        <w:tc>
          <w:tcPr>
            <w:tcW w:type="dxa" w:w="2771"/>
          </w:tcPr>
          <w:p>
            <w:r>
              <w:t>写作规则v46 现行稿件版本清单</w:t>
            </w:r>
          </w:p>
        </w:tc>
        <w:tc>
          <w:tcPr>
            <w:tcW w:type="dxa" w:w="2771"/>
          </w:tcPr>
          <w:p>
            <w:r>
              <w:t>版本清单仍列项目2 v16、项目4 v21、项目5 v14、项目6 v14、项目14 v9等旧稿，与当前审校文件不一致。</w:t>
            </w:r>
          </w:p>
        </w:tc>
        <w:tc>
          <w:tcPr>
            <w:tcW w:type="dxa" w:w="2771"/>
          </w:tcPr>
          <w:p>
            <w:r>
              <w:t>将现行稿件清单更新至项目1—14当前版本；项目3注明最后核定v15但正文待恢复。规则文件升至v47。</w:t>
            </w:r>
          </w:p>
        </w:tc>
      </w:tr>
      <w:tr>
        <w:tc>
          <w:tcPr>
            <w:tcW w:type="dxa" w:w="2771"/>
          </w:tcPr>
          <w:p>
            <w:r>
              <w:t>项目13.3【拓展】匿名化定义的条文编号</w:t>
            </w:r>
          </w:p>
        </w:tc>
        <w:tc>
          <w:tcPr>
            <w:tcW w:type="dxa" w:w="2771"/>
          </w:tcPr>
          <w:p>
            <w:r>
              <w:t>当前审校记录把匿名化定义对应到《个人信息保护法》第七十三条第三项；该项实际定义“去标识化”，匿名化定义在第四项。正文定义本身准确，但条文编号记录错误，法规索引也未列第七十三条第四项。</w:t>
            </w:r>
          </w:p>
        </w:tc>
        <w:tc>
          <w:tcPr>
            <w:tcW w:type="dxa" w:w="2771"/>
          </w:tcPr>
          <w:p>
            <w:r>
              <w:t>更正审校记录为第七十三条第四项；将项目13.3正文及表13-7条文索引补充核对，明确去标识化与匿名化对应第七十三条第三项、第四项。项目13正文需在后续版本落实。</w:t>
            </w:r>
          </w:p>
        </w:tc>
      </w:tr>
      <w:tr>
        <w:tc>
          <w:tcPr>
            <w:tcW w:type="dxa" w:w="2771"/>
          </w:tcPr>
          <w:p>
            <w:r>
              <w:t>项目4.1 增值税税率示例</w:t>
            </w:r>
          </w:p>
        </w:tc>
        <w:tc>
          <w:tcPr>
            <w:tcW w:type="dxa" w:w="2771"/>
          </w:tcPr>
          <w:p>
            <w:r>
              <w:t>项目4.1以13%税率演示货物增值税发票的价税计算，但项目13法规索引未列自2026年1月1日起施行的《中华人民共和国增值税法》。</w:t>
            </w:r>
          </w:p>
        </w:tc>
        <w:tc>
          <w:tcPr>
            <w:tcW w:type="dxa" w:w="2771"/>
          </w:tcPr>
          <w:p>
            <w:r>
              <w:t>应在项目13.3与表13-7增列《中华人民共和国增值税法》，核对第十条第一项13%税率及第三十八条施行日期；项目4.1示例保留时应标明为题设税率或补充适用限定。</w:t>
            </w:r>
          </w:p>
        </w:tc>
      </w:tr>
      <w:tr>
        <w:tc>
          <w:tcPr>
            <w:tcW w:type="dxa" w:w="2771"/>
          </w:tcPr>
          <w:p>
            <w:r>
              <w:t>项目7.1—7.3及综合练习 个人所得税</w:t>
            </w:r>
          </w:p>
        </w:tc>
        <w:tc>
          <w:tcPr>
            <w:tcW w:type="dxa" w:w="2771"/>
          </w:tcPr>
          <w:p>
            <w:r>
              <w:t>工资条、5000元费用扣除、七级税率与累计预扣均为个人所得税制度内容，但现行法规与准则索引未列《中华人民共和国个人所得税法》及国家税务总局公告2018年第61号《个人所得税扣缴申报管理办法（试行）》。</w:t>
            </w:r>
          </w:p>
        </w:tc>
        <w:tc>
          <w:tcPr>
            <w:tcW w:type="dxa" w:w="2771"/>
          </w:tcPr>
          <w:p>
            <w:r>
              <w:t>应在项目13.3与表13-7增列相关依据，并复核第六条、第十一条及扣缴办法第六条；正文任务继续按写作规则集中正式法规引用，其他任务只使用已核验的教学规则。</w:t>
            </w:r>
          </w:p>
        </w:tc>
      </w:tr>
      <w:tr>
        <w:tc>
          <w:tcPr>
            <w:tcW w:type="dxa" w:w="2771"/>
          </w:tcPr>
          <w:p>
            <w:r>
              <w:t>项目6.1—6.2 固定资产与折旧依据</w:t>
            </w:r>
          </w:p>
        </w:tc>
        <w:tc>
          <w:tcPr>
            <w:tcW w:type="dxa" w:w="2771"/>
          </w:tcPr>
          <w:p>
            <w:r>
              <w:t>固定资产定义、确认与折旧内容使用会计准则概念；当前法规与准则索引未列《企业会计准则第4号——固定资产》，正文也未明示该具体准则。</w:t>
            </w:r>
          </w:p>
        </w:tc>
        <w:tc>
          <w:tcPr>
            <w:tcW w:type="dxa" w:w="2771"/>
          </w:tcPr>
          <w:p>
            <w:r>
              <w:t>核实本书是否将该准则作为教学依据；如属本书依据，按规则在项目13.3/附录条文索引列明对应条文，并在项目6维持与其一致的通识表述。</w:t>
            </w:r>
          </w:p>
        </w:tc>
      </w:tr>
      <w:tr>
        <w:tc>
          <w:tcPr>
            <w:tcW w:type="dxa" w:w="2771"/>
          </w:tcPr>
          <w:p>
            <w:r>
              <w:t>写作规则v48：逐任务法规/准则备查矩阵</w:t>
            </w:r>
          </w:p>
        </w:tc>
        <w:tc>
          <w:tcPr>
            <w:tcW w:type="dxa" w:w="2771"/>
          </w:tcPr>
          <w:p>
            <w:r>
              <w:t>此前写作规则没有逐项目、逐任务汇总法律法规与会计准则，且项目3版本清单误将未入库的工作区v15写作现行稿。</w:t>
            </w:r>
          </w:p>
        </w:tc>
        <w:tc>
          <w:tcPr>
            <w:tcW w:type="dxa" w:w="2771"/>
          </w:tcPr>
          <w:p>
            <w:r>
              <w:t>新增43项任务矩阵及官方来源索引；区分正文明确引用、内容适用、条件适用和无特定法规。P3以GitHub v10为唯一仓库基线、待从v10重建；写作规则升至v48。</w:t>
            </w:r>
          </w:p>
        </w:tc>
      </w:tr>
      <w:tr>
        <w:tc>
          <w:tcPr>
            <w:tcW w:type="dxa" w:w="2771"/>
          </w:tcPr>
          <w:p>
            <w:r>
              <w:t>项目3版本恢复与审校策略</w:t>
            </w:r>
          </w:p>
        </w:tc>
        <w:tc>
          <w:tcPr>
            <w:tcW w:type="dxa" w:w="2771"/>
          </w:tcPr>
          <w:p>
            <w:r>
              <w:t>仓库仅有项目3 v10；先前工作区v15未提交且已缺失，不能从仓库恢复，也不能假称为已发布版本。</w:t>
            </w:r>
          </w:p>
        </w:tc>
        <w:tc>
          <w:tcPr>
            <w:tcW w:type="dxa" w:w="2771"/>
          </w:tcPr>
          <w:p>
            <w:r>
              <w:t>以仓库v10为源稿，重新核对已有审校记录和每次修改依据，形成项目3 v11；保留原有章节、案例、表格和配图，不从空白重写；对无法证实的历史修改重新审校，不机械照搬。v11完成内容、数据、图文及法规复核前不提交。</w:t>
            </w:r>
          </w:p>
        </w:tc>
      </w:tr>
      <w:tr>
        <w:tc>
          <w:tcPr>
            <w:tcW w:type="dxa" w:w="2771"/>
          </w:tcPr>
          <w:p>
            <w:r>
              <w:t>法规矩阵：项目4、7、13的缺项与适用状态</w:t>
            </w:r>
          </w:p>
        </w:tc>
        <w:tc>
          <w:tcPr>
            <w:tcW w:type="dxa" w:w="2771"/>
          </w:tcPr>
          <w:p>
            <w:r>
              <w:t>项目4使用13%增值税率并按数电发票20位号码处理；项目7应用个人所得税累计预扣；项目13法规索引尚未列入增值税法、个人所得税法及国家税务总局公告2018年第61号。</w:t>
            </w:r>
          </w:p>
        </w:tc>
        <w:tc>
          <w:tcPr>
            <w:tcW w:type="dxa" w:w="2771"/>
          </w:tcPr>
          <w:p>
            <w:r>
              <w:t>写作规则v48逐任务标注适用条文并列官方来源；待项目13下一版补充法规索引并复核生效日期。个人信息保护法匿名化对应第73条第4项，去标识化对应第3项。</w:t>
            </w:r>
          </w:p>
        </w:tc>
      </w:tr>
      <w:tr>
        <w:tc>
          <w:tcPr>
            <w:tcW w:type="dxa" w:w="2771"/>
          </w:tcPr>
          <w:p>
            <w:r>
              <w:t>项目1、2、3、4、5、6、11、12：图注编号与正文引导句重复</w:t>
            </w:r>
          </w:p>
        </w:tc>
        <w:tc>
          <w:tcPr>
            <w:tcW w:type="dxa" w:w="2771"/>
          </w:tcPr>
          <w:p>
            <w:r>
              <w:t>多处正文解释句以“图x-y……”开头，紧接着又出现同编号正式图注；虽非重复插图，但编号连续出现，容易被误读为重复图注，也使行文不自然。</w:t>
            </w:r>
          </w:p>
        </w:tc>
        <w:tc>
          <w:tcPr>
            <w:tcW w:type="dxa" w:w="2771"/>
          </w:tcPr>
          <w:p>
            <w:r>
              <w:t>删除解释句中重复的图号，改为“下图/流程图/知识图谱/柱状图”等自然指代；正式图注和图像引用均保留。项目1 v19、2 v18、3 v13、4 v24、5 v17、6 v16、11 v10、12 v8。</w:t>
            </w:r>
          </w:p>
        </w:tc>
      </w:tr>
      <w:tr>
        <w:tc>
          <w:tcPr>
            <w:tcW w:type="dxa" w:w="2771"/>
          </w:tcPr>
          <w:p>
            <w:r>
              <w:t>项目8表8-1注释：前向引用项目9表9-1</w:t>
            </w:r>
          </w:p>
        </w:tc>
        <w:tc>
          <w:tcPr>
            <w:tcW w:type="dxa" w:w="2771"/>
          </w:tcPr>
          <w:p>
            <w:r>
              <w:t>注释直接把后续项目的表号作为已知出处，容易打断按项目顺序学习的阅读。</w:t>
            </w:r>
          </w:p>
        </w:tc>
        <w:tc>
          <w:tcPr>
            <w:tcW w:type="dxa" w:w="2771"/>
          </w:tcPr>
          <w:p>
            <w:r>
              <w:t>改为“学期支出合计将在项目9表9-1汇总”，保留9月支出为单月数据的说明，同时明确该汇总内容将在后续项目出现。项目8升至v17。</w:t>
            </w:r>
          </w:p>
        </w:tc>
      </w:tr>
      <w:tr>
        <w:tc>
          <w:tcPr>
            <w:tcW w:type="dxa" w:w="2771"/>
          </w:tcPr>
          <w:p>
            <w:r>
              <w:t>项目13任务13.3及附录：法规引用与法条索引</w:t>
            </w:r>
          </w:p>
        </w:tc>
        <w:tc>
          <w:tcPr>
            <w:tcW w:type="dxa" w:w="2771"/>
          </w:tcPr>
          <w:p>
            <w:r>
              <w:t>原任务13.3正文直接列举《个人信息保护法》《数据安全法》《会计法》《会计基础工作规范》《发票管理办法》及条款编号；另设表13-7法规与准则条文索引，并在拓展内容援引《个人信息保护法》。内容位于任务13.3中段和附录，不是单独的法规标题，容易被忽略；且印刷教材难以随法规更新同步维护。</w:t>
            </w:r>
          </w:p>
        </w:tc>
        <w:tc>
          <w:tcPr>
            <w:tcW w:type="dxa" w:w="2771"/>
          </w:tcPr>
          <w:p>
            <w:r>
              <w:t>按作者意见删除正文中的具体法条、法规名称及整张法条索引表；保留最小必要、权限控制、留痕、先脱敏后分析等一般操作原则，并提示核验当时有效要求及向单位合规/信息安全人员咨询。后一张模块总结表由表13-8顺延为表13-7。具体法规和官方来源保留在编者内部审校规则，不刊入书稿。项目13升至v12。</w:t>
            </w:r>
          </w:p>
        </w:tc>
      </w:tr>
      <w:tr>
        <w:tc>
          <w:tcPr>
            <w:tcW w:type="dxa" w:w="2771"/>
          </w:tcPr>
          <w:p>
            <w:r>
              <w:t>项目9、10：关于大模型按词元生成文字的表述</w:t>
            </w:r>
          </w:p>
        </w:tc>
        <w:tc>
          <w:tcPr>
            <w:tcW w:type="dxa" w:w="2771"/>
          </w:tcPr>
          <w:p>
            <w:r>
              <w:t>原文“词元式的生成”不是规范、清晰的表述，且“只能保证语句通顺”容易把概率生成机制说成对输出流畅性的保证。</w:t>
            </w:r>
          </w:p>
        </w:tc>
        <w:tc>
          <w:tcPr>
            <w:tcW w:type="dxa" w:w="2771"/>
          </w:tcPr>
          <w:p>
            <w:r>
              <w:t>改为“大模型按上下文逐个预测词元，生成的表达可能流畅，却不代表它理解或核实了业务口径/图表比例关系”。项目9升至v13，项目10升至v13。</w:t>
            </w:r>
          </w:p>
        </w:tc>
      </w:tr>
    </w:tbl>
    <w:p>
      <w:pPr>
        <w:pStyle w:val="Heading1"/>
      </w:pPr>
      <w:r>
        <w:t>四、跨项目逻辑、数据与人物检查</w:t>
      </w:r>
    </w:p>
    <w:p>
      <w:r>
        <w:t>• 修正项目2的时间顺序错误：原稿称项目2“承接项目4”并将票据审核写作已学内容，然而项目2排在项目4之前。现改为项目2先学习收支管理，票据审核“将在项目4进一步学习”；项目4再承接项目2的收支记录，前后关系一致。</w:t>
      </w:r>
    </w:p>
    <w:p>
      <w:r>
        <w:t>• 项目7承接项目6的资产主题转向工资；项目8由工资核算转向流水数据处理；项目9明确调用项目2及项目8的数据；项目9结尾导入项目10图表表达，项目10继续沿用项目9的收入、支出口径；项目14引用项目8、9的既有示例数据。对这些引用逐项核对后，未发现新的“后学内容写成已学”问题。</w:t>
      </w:r>
    </w:p>
    <w:p>
      <w:r>
        <w:t>• 复核关键数值关系：分期总额与多付金额；项目4综合练习票据金额分类与汇总；项目5校园/企业利润；项目6直线折旧；项目7工资、税额、实发；项目8流水合计；项目9结余与比率；项目10图表来源口径与占比计算；发现图10-7实际纵轴从1900元起，而正文及思政案例曾写2000元，并把柱长比误述为四成。已按原图刻度修正文案，说明截断轴柱高为200元与140元（约7∶5），项目10在修正图10-7后先升至v8；全尺寸检查图10-8又发现判断分支错误，流程已重绘，项目10因图10-8流程修订现为v9；随后又发现图表来源/口径标注和结论句的比较关系不足，已在图10-4至图10-7图注及结论中补齐，且核实9月8日至12日余额回升300元，项目10现为v10；另复核项目9，发现任务9.1导入语称预算与实际结余“不能简单相减”，与后文直接计算差异相矛盾；现改为可比较但须继续追查原因。任务9.1预算结余率12.38%与实际结余率12.35%只是在保留一位小数时同为12.4%，已明确按四舍五入后“基本一致”。另补齐支出说明中遗漏的印刷材料超支，并把广告费的无标准评价改为可核实的第三大项排序；项目9升至v10。图10-4金额及占比、图10-5金额排序与合计复算无误。 另复核项目7个税核算，发现校园案例仅凭“工资较高”不能断定应纳税，已改为按扣除项目核算；明确累计预扣以同一扣缴单位累计为范围，避免扩大解释；将临时用工工资条的社保/公积金扣款作为示例事实而非一般规则，并将工资条描述为包含个人信息及较敏感内容，不直接将其等同于法定敏感个人信息。项目7升至v11。后续按税务总局官方问答补充说明：校园勤工助学/实习收入须确认收入性质及适用扣缴办法，避免将教学示例扩大为所有情形；项目7升至v12。 另外复核项目6的直线法折旧数字与购入月份口径：社团电脑年折旧1140元、月折旧95元，首年9个月折旧855元，2030年3月满48个月账面价值240元；青禾6台电脑完整年度折旧9600元、月折旧800元；分批购入案例的11个月/8个月折算及合计2533.33元正确，暂未发现需改正文的问题。 另复核项目5保本量与毛利/利润表述：发现将包装袋40元按0.2元/件列为变动成本时，原计算仍以70元作为固定费用，造成同一包装费重复计入；已改为固定费用仅保留海报30元，保本量30÷0.3=100件，并区分基准简化法（70÷0.5=140件）。同时改正综合案例“2650元”与AI结论250元不符的笔误，说明未分配费用前不能断定某商品净利润最高；明确校园与职业线固定费用计算期间。项目5升至v13。</w:t>
      </w:r>
    </w:p>
    <w:p>
      <w:r>
        <w:t>• 按人物设定复核姓名、角色及性别指代；修正项目3孙悦、项目5小周的两处女性代词错误。全量缩略图筛查中发现项目13图13-5画面为小何，但图注仅写“财务干事”；现更为“小何”，与统一设定及相邻任务中的人物身份相符。项目4图4-2、图4-3也已确认均为小何，图注点明人物；规则中原分配给这两图的未命名人物模板E/F已停用。</w:t>
      </w:r>
    </w:p>
    <w:p>
      <w:r>
        <w:t>• 法规引用只出现在项目13.3正文及其资料表。本轮按截至2026-10-30可查的官方文本复核：会计法2024年修正第十四条、财政部令第98号所涉《会计基础工作规范》2019年修改文本第四十八条、发票管理办法2023年修订第二十条、企业会计准则——基本准则第九条，以及《个人信息保护法》第四、六、五十一条和《数据安全法》第二十七条；正文转述与条文相符。财政部2025年再次征求《会计基础工作规范》修订意见，2026年度立法安排继续列入修订；截至审校日未发现正式新文本，正文仍以2019年修改版为现行引用依据，出版前须再复查。2026年《会计数智化工作指导意见》仍为征求意见稿，未作为现行法规引用。 项目7累计预扣法、5000元/月累计减除费用和综合所得七级税率另以截至审校日的国家税务总局资料复核，方法及税率表与现行官方口径一致；正文将累计范围明确为同一扣缴单位。参考：国家税务总局天津市税务局（2026-03-13）https://tianjin.chinatax.gov.cn/11200000000/0600/060003/06000321/20260313112250583.shtml；国家税务总局上海市税务局《个人所得税税率表（综合所得适用）》https://shanghai.chinatax.gov.cn/zcfw/zcfgk/grsds/202402/P020240202362406243753.pdf。 国家税务总局关于全日制在校学生实习劳务报酬适用累计预扣法的官方问答亦已核对：https://www.chinatax.gov.cn/chinatax/n810356/n3255681/c5155253/content.html；正文增加提醒，勤工助学/实习收入应依收入性质与适用扣缴规则核定。</w:t>
      </w:r>
    </w:p>
    <w:p>
      <w:r>
        <w:t>• 正文及表格中未检出“待确认”字样。项目1—13综合练习提供示例数据；项目14亦指向书内已有示例资料，不要求学生自行收集或自拟数据。</w:t>
      </w:r>
    </w:p>
    <w:p>
      <w:pPr>
        <w:pStyle w:val="Heading1"/>
      </w:pPr>
      <w:r>
        <w:t>五、图表与版式审校</w:t>
      </w:r>
    </w:p>
    <w:p>
      <w:r>
        <w:t>• 14个项目的A4纸张、页边距、正文12pt/固定20磅、标题字号等样式参数一致；项目4 v16与项目2 v10的主要版面参数一致。项目4正文和表格字体、行距、边距已基本符合规则，页码字段显式设为Times New Roman 9pt/中文宋体。</w:t>
      </w:r>
    </w:p>
    <w:p>
      <w:r>
        <w:t>• 全书85个图像锚点均有紧随其后的居中图注，各项目图号连续；表题均在相应表格上方，表号连续。正文图像引用清单现迭代至v35，逐图记录DOCX部件、素材路径及SHA-256。79幅与图表目录素材精确匹配，图1-2精确对应项目根目录图片；另5幅当前正文图已从DOCX媒体原样提取到“图表/正文引用图/”。图7-3与图7-4素材原有文件名互换，现已按正文内容校正。</w:t>
      </w:r>
    </w:p>
    <w:p>
      <w:r>
        <w:t>• 项目1—13的【拓展】内容集中在项目末尾并标明任务归属；项目14未另设【拓展】，以综合练习和评分标准收束。每任务一处思政园地，项目1—13各3处、项目14有4处。</w:t>
      </w:r>
    </w:p>
    <w:p>
      <w:pPr>
        <w:pStyle w:val="Heading1"/>
      </w:pPr>
      <w:r>
        <w:t>六、现行正文文件</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jc w:val="center"/>
            </w:pPr>
            <w:r>
              <w:rPr>
                <w:b/>
                <w:sz w:val="18"/>
              </w:rPr>
              <w:t>项目</w:t>
            </w:r>
          </w:p>
        </w:tc>
        <w:tc>
          <w:tcPr>
            <w:tcW w:type="dxa" w:w="4156"/>
            <w:vAlign w:val="center"/>
          </w:tcPr>
          <w:p>
            <w:r>
              <w:t>当前稿件状态</w:t>
            </w:r>
          </w:p>
        </w:tc>
      </w:tr>
      <w:tr>
        <w:tc>
          <w:tcPr>
            <w:tcW w:type="dxa" w:w="4156"/>
            <w:vAlign w:val="center"/>
          </w:tcPr>
          <w:p>
            <w:pPr>
              <w:spacing w:line="240" w:lineRule="auto" w:before="0" w:after="0"/>
            </w:pPr>
            <w:r>
              <w:rPr>
                <w:rFonts w:ascii="Times New Roman" w:hAnsi="Times New Roman" w:eastAsia="宋体"/>
                <w:sz w:val="18"/>
              </w:rPr>
              <w:t>1</w:t>
            </w:r>
          </w:p>
        </w:tc>
        <w:tc>
          <w:tcPr>
            <w:tcW w:type="dxa" w:w="4156"/>
            <w:vAlign w:val="center"/>
          </w:tcPr>
          <w:p>
            <w:r>
              <w:t>v19</w:t>
            </w:r>
          </w:p>
        </w:tc>
      </w:tr>
      <w:tr>
        <w:tc>
          <w:tcPr>
            <w:tcW w:type="dxa" w:w="4156"/>
            <w:vAlign w:val="center"/>
          </w:tcPr>
          <w:p>
            <w:pPr>
              <w:spacing w:line="240" w:lineRule="auto" w:before="0" w:after="0"/>
            </w:pPr>
            <w:r>
              <w:rPr>
                <w:rFonts w:ascii="Times New Roman" w:hAnsi="Times New Roman" w:eastAsia="宋体"/>
                <w:sz w:val="18"/>
              </w:rPr>
              <w:t>2</w:t>
            </w:r>
          </w:p>
        </w:tc>
        <w:tc>
          <w:tcPr>
            <w:tcW w:type="dxa" w:w="4156"/>
            <w:vAlign w:val="center"/>
          </w:tcPr>
          <w:p>
            <w:r>
              <w:t>v18</w:t>
            </w:r>
          </w:p>
        </w:tc>
      </w:tr>
      <w:tr>
        <w:tc>
          <w:tcPr>
            <w:tcW w:type="dxa" w:w="4156"/>
            <w:vAlign w:val="center"/>
          </w:tcPr>
          <w:p>
            <w:pPr>
              <w:spacing w:line="240" w:lineRule="auto" w:before="0" w:after="0"/>
            </w:pPr>
            <w:r>
              <w:rPr>
                <w:rFonts w:ascii="Times New Roman" w:hAnsi="Times New Roman" w:eastAsia="宋体"/>
                <w:sz w:val="18"/>
              </w:rPr>
              <w:t>3</w:t>
            </w:r>
          </w:p>
        </w:tc>
        <w:tc>
          <w:tcPr>
            <w:tcW w:type="dxa" w:w="4156"/>
            <w:vAlign w:val="center"/>
          </w:tcPr>
          <w:p>
            <w:r>
              <w:t>v13（基于仓库v10修订并接续v11）</w:t>
            </w:r>
          </w:p>
        </w:tc>
      </w:tr>
      <w:tr>
        <w:tc>
          <w:tcPr>
            <w:tcW w:type="dxa" w:w="4156"/>
            <w:vAlign w:val="center"/>
          </w:tcPr>
          <w:p>
            <w:pPr>
              <w:spacing w:line="240" w:lineRule="auto" w:before="0" w:after="0"/>
            </w:pPr>
            <w:r>
              <w:rPr>
                <w:rFonts w:ascii="Times New Roman" w:hAnsi="Times New Roman" w:eastAsia="宋体"/>
                <w:sz w:val="18"/>
              </w:rPr>
              <w:t>4</w:t>
            </w:r>
          </w:p>
        </w:tc>
        <w:tc>
          <w:tcPr>
            <w:tcW w:type="dxa" w:w="4156"/>
            <w:vAlign w:val="center"/>
          </w:tcPr>
          <w:p>
            <w:r>
              <w:t>v24</w:t>
            </w:r>
          </w:p>
        </w:tc>
      </w:tr>
      <w:tr>
        <w:tc>
          <w:tcPr>
            <w:tcW w:type="dxa" w:w="4156"/>
            <w:vAlign w:val="center"/>
          </w:tcPr>
          <w:p>
            <w:pPr>
              <w:spacing w:line="240" w:lineRule="auto" w:before="0" w:after="0"/>
            </w:pPr>
            <w:r>
              <w:rPr>
                <w:rFonts w:ascii="Times New Roman" w:hAnsi="Times New Roman" w:eastAsia="宋体"/>
                <w:sz w:val="18"/>
              </w:rPr>
              <w:t>5</w:t>
            </w:r>
          </w:p>
        </w:tc>
        <w:tc>
          <w:tcPr>
            <w:tcW w:type="dxa" w:w="4156"/>
            <w:vAlign w:val="center"/>
          </w:tcPr>
          <w:p>
            <w:r>
              <w:t>v17</w:t>
            </w:r>
          </w:p>
        </w:tc>
      </w:tr>
      <w:tr>
        <w:tc>
          <w:tcPr>
            <w:tcW w:type="dxa" w:w="4156"/>
            <w:vAlign w:val="center"/>
          </w:tcPr>
          <w:p>
            <w:pPr>
              <w:spacing w:line="240" w:lineRule="auto" w:before="0" w:after="0"/>
            </w:pPr>
            <w:r>
              <w:rPr>
                <w:rFonts w:ascii="Times New Roman" w:hAnsi="Times New Roman" w:eastAsia="宋体"/>
                <w:sz w:val="18"/>
              </w:rPr>
              <w:t>6</w:t>
            </w:r>
          </w:p>
        </w:tc>
        <w:tc>
          <w:tcPr>
            <w:tcW w:type="dxa" w:w="4156"/>
            <w:vAlign w:val="center"/>
          </w:tcPr>
          <w:p>
            <w:r>
              <w:t>v16</w:t>
            </w:r>
          </w:p>
        </w:tc>
      </w:tr>
      <w:tr>
        <w:tc>
          <w:tcPr>
            <w:tcW w:type="dxa" w:w="4156"/>
            <w:vAlign w:val="center"/>
          </w:tcPr>
          <w:p>
            <w:pPr>
              <w:spacing w:line="240" w:lineRule="auto" w:before="0" w:after="0"/>
            </w:pPr>
            <w:r>
              <w:rPr>
                <w:rFonts w:ascii="Times New Roman" w:hAnsi="Times New Roman" w:eastAsia="宋体"/>
                <w:sz w:val="18"/>
              </w:rPr>
              <w:t>7</w:t>
            </w:r>
          </w:p>
        </w:tc>
        <w:tc>
          <w:tcPr>
            <w:tcW w:type="dxa" w:w="4156"/>
            <w:vAlign w:val="center"/>
          </w:tcPr>
          <w:p>
            <w:r>
              <w:t>v14</w:t>
            </w:r>
          </w:p>
        </w:tc>
      </w:tr>
      <w:tr>
        <w:tc>
          <w:tcPr>
            <w:tcW w:type="dxa" w:w="4156"/>
            <w:vAlign w:val="center"/>
          </w:tcPr>
          <w:p>
            <w:pPr>
              <w:spacing w:line="240" w:lineRule="auto" w:before="0" w:after="0"/>
            </w:pPr>
            <w:r>
              <w:rPr>
                <w:rFonts w:ascii="Times New Roman" w:hAnsi="Times New Roman" w:eastAsia="宋体"/>
                <w:sz w:val="18"/>
              </w:rPr>
              <w:t>8</w:t>
            </w:r>
          </w:p>
        </w:tc>
        <w:tc>
          <w:tcPr>
            <w:tcW w:type="dxa" w:w="4156"/>
            <w:vAlign w:val="center"/>
          </w:tcPr>
          <w:p>
            <w:r>
              <w:t>v17</w:t>
            </w:r>
          </w:p>
        </w:tc>
      </w:tr>
      <w:tr>
        <w:tc>
          <w:tcPr>
            <w:tcW w:type="dxa" w:w="4156"/>
            <w:vAlign w:val="center"/>
          </w:tcPr>
          <w:p>
            <w:pPr>
              <w:spacing w:line="240" w:lineRule="auto" w:before="0" w:after="0"/>
            </w:pPr>
            <w:r>
              <w:rPr>
                <w:rFonts w:ascii="Times New Roman" w:hAnsi="Times New Roman" w:eastAsia="宋体"/>
                <w:sz w:val="18"/>
              </w:rPr>
              <w:t>9</w:t>
            </w:r>
          </w:p>
        </w:tc>
        <w:tc>
          <w:tcPr>
            <w:tcW w:type="dxa" w:w="4156"/>
            <w:vAlign w:val="center"/>
          </w:tcPr>
          <w:p>
            <w:r>
              <w:t>v13</w:t>
            </w:r>
          </w:p>
        </w:tc>
      </w:tr>
      <w:tr>
        <w:tc>
          <w:tcPr>
            <w:tcW w:type="dxa" w:w="4156"/>
            <w:vAlign w:val="center"/>
          </w:tcPr>
          <w:p>
            <w:pPr>
              <w:spacing w:line="240" w:lineRule="auto" w:before="0" w:after="0"/>
            </w:pPr>
            <w:r>
              <w:rPr>
                <w:rFonts w:ascii="Times New Roman" w:hAnsi="Times New Roman" w:eastAsia="宋体"/>
                <w:sz w:val="18"/>
              </w:rPr>
              <w:t>10</w:t>
            </w:r>
          </w:p>
        </w:tc>
        <w:tc>
          <w:tcPr>
            <w:tcW w:type="dxa" w:w="4156"/>
            <w:vAlign w:val="center"/>
          </w:tcPr>
          <w:p>
            <w:r>
              <w:t>v13</w:t>
            </w:r>
          </w:p>
        </w:tc>
      </w:tr>
      <w:tr>
        <w:tc>
          <w:tcPr>
            <w:tcW w:type="dxa" w:w="4156"/>
            <w:vAlign w:val="center"/>
          </w:tcPr>
          <w:p>
            <w:pPr>
              <w:spacing w:line="240" w:lineRule="auto" w:before="0" w:after="0"/>
            </w:pPr>
            <w:r>
              <w:rPr>
                <w:rFonts w:ascii="Times New Roman" w:hAnsi="Times New Roman" w:eastAsia="宋体"/>
                <w:sz w:val="18"/>
              </w:rPr>
              <w:t>11</w:t>
            </w:r>
          </w:p>
        </w:tc>
        <w:tc>
          <w:tcPr>
            <w:tcW w:type="dxa" w:w="4156"/>
            <w:vAlign w:val="center"/>
          </w:tcPr>
          <w:p>
            <w:r>
              <w:t>v10</w:t>
            </w:r>
          </w:p>
        </w:tc>
      </w:tr>
      <w:tr>
        <w:tc>
          <w:tcPr>
            <w:tcW w:type="dxa" w:w="4156"/>
            <w:vAlign w:val="center"/>
          </w:tcPr>
          <w:p>
            <w:pPr>
              <w:spacing w:line="240" w:lineRule="auto" w:before="0" w:after="0"/>
            </w:pPr>
            <w:r>
              <w:rPr>
                <w:rFonts w:ascii="Times New Roman" w:hAnsi="Times New Roman" w:eastAsia="宋体"/>
                <w:sz w:val="18"/>
              </w:rPr>
              <w:t>12</w:t>
            </w:r>
          </w:p>
        </w:tc>
        <w:tc>
          <w:tcPr>
            <w:tcW w:type="dxa" w:w="4156"/>
            <w:vAlign w:val="center"/>
          </w:tcPr>
          <w:p>
            <w:r>
              <w:t>v8</w:t>
            </w:r>
          </w:p>
        </w:tc>
      </w:tr>
      <w:tr>
        <w:tc>
          <w:tcPr>
            <w:tcW w:type="dxa" w:w="4156"/>
            <w:vAlign w:val="center"/>
          </w:tcPr>
          <w:p>
            <w:pPr>
              <w:spacing w:line="240" w:lineRule="auto" w:before="0" w:after="0"/>
            </w:pPr>
            <w:r>
              <w:rPr>
                <w:rFonts w:ascii="Times New Roman" w:hAnsi="Times New Roman" w:eastAsia="宋体"/>
                <w:sz w:val="18"/>
              </w:rPr>
              <w:t>13</w:t>
            </w:r>
          </w:p>
        </w:tc>
        <w:tc>
          <w:tcPr>
            <w:tcW w:type="dxa" w:w="4156"/>
            <w:vAlign w:val="center"/>
          </w:tcPr>
          <w:p>
            <w:r>
              <w:t>v12</w:t>
            </w:r>
          </w:p>
        </w:tc>
      </w:tr>
      <w:tr>
        <w:tc>
          <w:tcPr>
            <w:tcW w:type="dxa" w:w="4156"/>
            <w:vAlign w:val="center"/>
          </w:tcPr>
          <w:p>
            <w:pPr>
              <w:spacing w:line="240" w:lineRule="auto" w:before="0" w:after="0"/>
            </w:pPr>
            <w:r>
              <w:rPr>
                <w:rFonts w:ascii="Times New Roman" w:hAnsi="Times New Roman" w:eastAsia="宋体"/>
                <w:sz w:val="18"/>
              </w:rPr>
              <w:t>14</w:t>
            </w:r>
          </w:p>
        </w:tc>
        <w:tc>
          <w:tcPr>
            <w:tcW w:type="dxa" w:w="4156"/>
            <w:vAlign w:val="center"/>
          </w:tcPr>
          <w:p>
            <w:r>
              <w:t>v14</w:t>
            </w:r>
          </w:p>
        </w:tc>
      </w:tr>
    </w:tbl>
    <w:p>
      <w:r>
        <w:t>配套文件：《教材三级目录_v7.docx》《写作规则_v55.docx》《图表/正文图像引用清单_v57.csv》。</w:t>
      </w:r>
    </w:p>
    <w:p>
      <w:pPr>
        <w:pStyle w:val="Heading1"/>
      </w:pPr>
      <w:r>
        <w:t>七、审校完成度与尚需完成的出版前检查</w:t>
      </w:r>
    </w:p>
    <w:p>
      <w:r>
        <w:t>已完成首轮结构与体例QA、85幅正文图的缩略图全量筛查、18幅金额/比例类图表的全尺寸复核、重点人物图全尺寸复核，以及图像引用清单哈希映射。数值复核发现项目8表8-2列示部分分类合计却未列出赞助、场地和道具分类，导致读者无法从所列明细复算总额；已补齐分类公式与金额，项目8表8-2还混用金额和记录条数单位，已将表头改为“金额：元；记录数：条”；项目8升至v14。另已修正项目6图6-2场景说明、项目13图13-5人物图注及项目4图像映射。另发现项目9中广告费被误称为“第二大项”，且示例结论含无基准的“良好”等评价；已按表9-3修正为第三大项，删除无依据评价，并把广告建议改为先跟踪投入与转化效果、再设定渠道预算上限；社员版结论改为收入、支出、结余及预算差额的具体数字；项目9升至v9。表9-5中对缺少上月数据的“广告费偏高”判断，现改为删除判断或补充比较数据与标准。另核查项目11图11-4：表11-4与表11-5为示例题库结构及记录格式，不能支撑图中15次错误分类的实测汇总。正文已明确图示数据仅用于演示分类统计，不代表样题实测结果，也不能据此判断真实系统表现；项目11升至v6。项目13.3原未引用直接支持个人信息最小必要和数据安全管理的法规，现补入《个人信息保护法》与《数据安全法》条文及附录索引，并说明脱敏不等于匿名化；项目13升至v7。项目10图10-7全尺寸复核发现轴起点与正文/案例说明不一致，且柱高比例说明不符；已统一为图示的1900元起点并修正比例解释，图10-4金额—占比复算准确，项目10升至v10。另发现图10-4至图10-7图注的数据来源/统计口径与任务10.2检查要求不完全一致，且图10-5、图10-6结论缺口径或明确比较额；现已补全来源与口径，并将余额下降306元、回升300元写明。另发现图10-8流程图的“否”分支被画成直行，且未画回到修正环节的回路，容易让错误数据继续进入发布流程；已重绘流程，明确“是”进入标注检查、“否”回原始数据核对并重生成。项目9因修正预算/实际结余表述、舍入说明和支出说明完整性升至v10。项目7个税公式和税率表经国家税务总局官方资料复核，且修正了工资情境的过度推断、累计扣缴范围和个人信息表述；项目7升至v11，并补充勤工助学/实习收入按实际收入性质和扣缴规则核定的提示，现为v12。项目6折旧公式与月份折算通过复核，未改正文。项目5保本量中包装费用重复计算已修正，并修正“2650元”笔误、毛利与净利润边界及固定费用期间，项目5升至v13。项目14综合练习的来源说明补入了星空读书会收支汇总表9-1，区分总额与费用明细表9-2，增强数据追溯；项目14升至v7。项目1差旅示例中出租车票150元与交通费总额180元的30元差额此前既称高速费、又称需解释缺失凭证，现统一明确为高速通行费30元但凭证未提供，要求补证后审核；项目1升至v14。项目2差异率提示词补明百分比计算口径；补充政府会计双基础的规范表述，避免将行政事业单位会计概括为单一收付实现制，项目2升至v15。官方依据：财政部《政府会计准则——基本准则》第三条及财政部政府会计改革说明（财务会计权责发生制、预算会计一般收付实现制）。部分完成：跨项目内容与数据逐项细审；流程图和其他图像中的小字、全部任务正文的细读。图表目录仍保留6组未被正文引用的候选素材（含1组重复文件），已在下表登记，暂不删除。尚未完成：在Word/LibreOffice中渲染页面以检查分页、表格跨页、图片缩放和字体替换；法规出版前复核及出版社终校。当前环境未找到LibreOffice/soffice。 后续校对发现图10-7正文虽已写明1900元轴基线，但尚未把200元/140元柱高和实际柱长70%写出；已补充解释，项目10升至v11。</w:t>
      </w:r>
    </w:p>
    <w:p>
      <w:r>
        <w:t>续审记录（2026年10月31日）：项目2权责发生制示例补明交易须满足适用确认条件，并明确服务已提供、物料已验收；项目2为v16。项目12将计算/规则校验工具与知识库检索工具的稳定性边界区分，并要求记录知识库版本和检索设置；项目12为v4。项目13限定匿名化的法律效果仅为不属于《个人信息保护法》所称个人信息，仍须遵守数据安全、保密等适用要求；项目13为v8。项目14修正票据与配套业务资料的证据边界，并区分柱状图、折线图纵轴原则；项目14为v8。上述修订及依据已录入本记录问题表。</w:t>
      </w:r>
    </w:p>
    <w:p>
      <w:r>
        <w:t>全量结构与图像复验：最新项目稿共43个任务（项目1—13各3个、项目14有4个），逐任务检查均有一处明确标题的思政园地；项目14仍以综合练习和评分标准收束，不另设【拓展】标记。最新项目正文及表格未检出“待确认”字样。85项正文图像引用逐一核对，素材路径、清单SHA-256及DOCX嵌入媒体哈希全部匹配，无缺图或错配。</w:t>
      </w:r>
    </w:p>
    <w:p>
      <w:r>
        <w:t>尚未完成：全部项目的最终人工逐段复核与出版级页面渲染验收仍需继续；当前环境没有LibreOffice/soffice，分页、表格跨页、缩放与字体替换、打印效果均未验收。本轮不提交、不暂存；完成内容复核及可行的版面验收后再决定是否提交。</w:t>
      </w:r>
    </w:p>
    <w:p>
      <w:r>
        <w:t>本轮法规复核参考官方原文：全国人大《个人信息保护法》https://www.npc.gov.cn/npc/c2/c30834/202108/t20210820_313088.html；全国人大《数据安全法》https://www.npc.gov.cn/npc/c2/c30834/202106/t20210610_311888.html；财政部《会计基础工作规范》https://tfs.mof.gov.cn/caizhengbuling/201903/t20190315_3193919.htm。</w:t>
      </w:r>
    </w:p>
    <w:p>
      <w:r>
        <w:t>续审补充（2026年10月31日）：项目4复核数电发票规则后，发现通用识别提示词及表4-2将“发票代码+号码”当作普遍字段，未照顾数电发票。已改为按票种核对；数电发票使用20位发票号码，并补充纸质票与数电发票的查验表述。项目4升至v20。官方依据：国家税务总局公告2024年第11号，https://guangdong.chinatax.gov.cn/gdsw/zjfg/2024-11/25/content_753ed5d24aa3491999c20500fd5a1ef1.shtml。当前静态复核未检出新数值问题；出版版式仍需实际渲染验收。</w:t>
      </w:r>
    </w:p>
    <w:p>
      <w:r>
        <w:t>项目4一致性复查：同一项数电发票号码规则也已同步到【拓展】“票据的唯一性”段落，避免正文与拓展仍要求普遍提供“代码+号码”。项目4升至v21。</w:t>
      </w:r>
    </w:p>
    <w:p>
      <w:r>
        <w:t>本轮表格算术与跨项目复核（2026年10月31日）：复核项目2综合练习有意设置的5处AI错误及评分标准，错误类型、正确数值和评分要求相互一致；项目3分期、优惠临界金额、项目例题年化率（RATE计算名义年化约17.97%、月复利有效年化约19.53%）、图表支出分解均复算无误；项目5成本、存货、毛利及保本量复算无误。项目6折旧表与残值及分月口径相符；项目7累计预扣工资示例与实发金额复算一致；项目8清理前后流水、类别合计及“错误相抵”的示例自洽；项目9预算差异与经营说明数字一致；项目10各图表引用的金额、比例与叙述口径一致。本轮未发现需新增正文修改的问题。以上为表格及交叉引用复核，不代表最终逐段终审或页面排版验收已完成。</w:t>
      </w:r>
    </w:p>
    <w:p>
      <w:r>
        <w:t>续审补充（2026年10月31日）：项目1任务1.3复核时发现“三步都通过即可采用AI结论”的表述过度承诺核查效果，且可能削弱人的最终判断责任。现已明确三步检查只能说明所检项目暂未发现问题，最终采纳仍须由人结合业务事实、适用制度和审批要求判断。项目1升至v16。</w:t>
      </w:r>
    </w:p>
    <w:p>
      <w:r>
        <w:t>项目1结构复查补充：任务1.1的“问题句式”此前列四部分，却以五要素为核心，漏列时间。现统一为五部分句式，项目1升至v17。</w:t>
      </w:r>
    </w:p>
    <w:p>
      <w:r>
        <w:t>当前稿件复验（2026年10月31日）：项目1—14最新版本均可打开；共43个任务，逐项结构扫描确认每任务有一处思政园地，正文与表格未检出字面“待确认”。图像引用清单v45共85项，DOCX嵌入媒体与素材SHA-256逐项匹配。现行稿件为项目1 v17、项目2 v16、项目3 v15、项目4 v22、项目5 v15、项目6 v14、项目7 v13、项目8 v15、项目9 v11、项目10 v11、项目11 v8、项目12 v6、项目13 v9、项目14 v12；规则v46，目录v6。上述为静态结构及引用校验，页面渲染验收和全书最终逐段复核仍未完成。</w:t>
      </w:r>
    </w:p>
    <w:p>
      <w:r>
        <w:t>续审补充（2026年10月31日）：项目8区分纯文本大模型与调用表格读取或计算工具的AI，补足工具调用、数据范围和结果复核要求，与项目12的工具设计衔接。项目8升至v15。</w:t>
      </w:r>
    </w:p>
    <w:p>
      <w:r>
        <w:t>续审补充（2026年10月31日）：项目12表12-5“超标未提示”原题目数4与正确发现3、漏报1、误报1并列，样本口径无法自洽。现将题目数改为5，明确4题实际超标、另1题为符合新版例外条件但被误报；漏报图数据不变。项目12升至v5。</w:t>
      </w:r>
    </w:p>
    <w:p>
      <w:r>
        <w:t>续审补充（2026年10月31日）：项目7原以10月作为“本年度第一次发放工资”却仅扣一个月5000元，未充分体现首次取得工资薪金居民个人可能按年初至本月累计减除费用的规则。现将王涛示例改为2026年1月和2月，使月份与演算一致；实际情形仍须按适用规则判断。项目7升至v13。官方核验：国家税务总局公告2020年第13号，国家税务总局广西壮族自治区税务局2026-07-29答复：https://guangxi.chinatax.gov.cn/nsfw/nszx/rdwd/202607/t20260729_437275.html。</w:t>
      </w:r>
    </w:p>
    <w:p>
      <w:r>
        <w:t>续审补充（2026年10月31日）：项目6修正固定资产定义与闲置资产折旧例外，并区分社团电脑的完整折旧年度和自然年度末账面价值。财政部《企业会计准则第4号——固定资产》规定固定资产确认特征、确认条件及已提足折旧资产例外：https://www.mof.gov.cn/zhengwuxinxi/zhengcefabu/2006zcfb/200805/t20080519_23104.htm。项目6升至v14。</w:t>
      </w:r>
    </w:p>
    <w:p>
      <w:r>
        <w:t>续审补充（2026年10月31日）：项目12表12-5将“正确发现”用于包含正常报销样本的总指标，措辞不适配。列名现改为“正确判断”，超标样本说明仍区分正确识别、漏报和误报。项目12升至v6。</w:t>
      </w:r>
    </w:p>
    <w:p>
      <w:r>
        <w:t>续审补充（2026年10月31日）：项目14综合练习新增表14-3模拟票据资料（含品名、用途与审批依据缺失等情形），明确供票据整理任务使用且不纳入表14-2汇总重算，避免要求学生自行收集。终篇以综合练习和模块总结收束，不单列【拓展】标记；按终篇结构判断可接受，并非遗漏待补。项目14升至v9。</w:t>
      </w:r>
    </w:p>
    <w:p>
      <w:r>
        <w:t>本记录汇总目前已执行的文件级审校结果，不替代出版社的终校、法规时效复核及最终排版验收。</w:t>
        <w:br/>
        <w:t>续审补充（2026年10月31日）：项目4进一步复核“收据/小票不能报销”的适用边界。通用正文已说明单位制度差异，但表4-4个别校园案例措辞容易被读作普遍规则。现将彩带收据及超市小票的结论明确限定为本例学院要求，并说明小票不能单独证明用途归属；对未取得合规票据的支出，要求如实记账、按制度补充材料，材料符合要求前不列为已审核通过的报销支出。项目4升至v22。</w:t>
        <w:br/>
        <w:t>续审补充（2026年10月31日）：项目13附录法规索引复核发现正文引用《政府会计准则——基本准则》，但索引表此前遗漏该准则；现补列财政部令第78号及第三条，并把附录标题调整为“法规与准则条文索引表”。同时将匿名化定义改为贴合《个人信息保护法》第七十三条第四项的表述“无法识别特定自然人且不能复原”，避免引入原文没有的“合理识别”限定。项目13升至v9。官方依据：财政部《政府会计准则——基本准则》https://tfs.mof.gov.cn/caizhengbuling/201511/t20151102_1536662.htm；《企业会计准则——基本准则》https://tfs.mof.gov.cn/caizhengbuling/201407/t20140729_1119494.htm；《个人信息保护法》https://www.npc.gov.cn/npc/c2/c30834/202108/t20210820_313088.html。</w:t>
        <w:br/>
        <w:t>续审补充（2026年10月31日）：项目11综合练习此前只给出制度“共二十四条”及版本概况，未提供足以整理知识库、设计测试题的制度原文，违反“综合练习须提供示例数据”的要求。现将表11-8改为教学用模拟制度资料，提供现行条款、适用对象、施行日期、两个旧版对照及资料范围限制；并明确只能据所给节选判断，材料未覆盖时不得推断完整制度无规定。项目11升至v7。</w:t>
        <w:br/>
        <w:t>续审补充（2026年10月31日）：项目4、11、13升级后，图像引用清单的“正文文件”列仍指向旧版本文件名。现建立图像引用清单v41，更新上述项目的文件名，并重新对85项正文图像逐一比对素材及DOCX嵌入媒体SHA-256；本轮复验全部匹配。</w:t>
        <w:br/>
        <w:t>续审补充（2026年10月31日）：项目11综合练习制度资料表较长，考虑到需跨页阅读，现为表11-8设置重复表头，并使条款数据行尽量保持完整、不跨页拆分。此为静态表格结构设置，仍须在Word/LibreOffice实际分页后验收。项目11升至v8。</w:t>
        <w:br/>
        <w:t>续审补充（2026年10月31日）：表11-8设置分页重复表头与条款行不拆分后，图像引用清单的“正文文件”字段同步更新为项目11 v8。清单升至v42，并复核85项素材与DOCX嵌入媒体SHA-256，结果全部匹配。</w:t>
        <w:br/>
        <w:t>续审补充（2026年10月31日）：项目14任务14.2曾把可退场地押金被误判为已退回，描述成“支出合计少计60元”，与其作为待退还往来款、不纳入费用合计的性质不一致，也与表14-3“仅作票据练习、不重算表14-2”的限定可能冲突。现改为待退还款项台账少计60元，要求单独跟踪，并明确不计入普通活动费用或表14-2支出合计。项目14升至v10。</w:t>
        <w:br/>
        <w:t>续审补充（2026年10月31日）：项目14更新后，图像引用清单v43同步更新其正文文件名；85项素材与DOCX内嵌媒体哈希复核全部匹配。</w:t>
        <w:br/>
        <w:t>续审补充（2026年10月31日）：项目14继续复核发现，任务14.1将票据与独立业务资料说成普遍“缺一不可”，范围过宽；任务14.2把客户快递费直接归为销售费用且称“高出近两成”，缺少业务去向及比较数据；多个AI操作也未提示个人信息处理边界。现改为按事项性质和单位制度确定所需资料，明确客户配送运费按本例口径单列并删除无依据比例判断；并在交由大模型处理前提示核实处理依据、权限、最小必要与脱敏。项目14升至v11。</w:t>
        <w:br/>
        <w:t>续审补充（2026年10月31日）：项目14.1首次交由大模型整理票据的步骤仍缺少数据处理前置检查。现明确要求按任务13.3核实处理依据与使用权限、遵循最小必要、对个人信息脱敏；不宜上传的内容改用模拟数据。项目14升至v12。</w:t>
        <w:br/>
        <w:t>续审补充（2026年10月31日）：项目14升至v12，图像引用清单v45同步更新项目14文件名并复核85项正文图像，素材与嵌入媒体哈希均匹配。</w:t>
        <w:br/>
        <w:t>记录更正：当前复验快照此前未同步更新图像引用清单版本号；现更正为v45，与当前文件一致。</w:t>
        <w:br/>
        <w:t>续审补充（2026年10月31日）：项目5复盘图表将捐赠旧书毛利率写为100%，虽与本例数据相符，但未限定简化核算口径，容易被理解为捐赠商品普遍无成本。现明确为本例未分配采购成本，计算结果不变。项目5升至v15。</w:t>
      </w:r>
    </w:p>
    <w:p>
      <w:r>
        <w:t>续审工作快照（2026年10月31日）：继续审校后，已修正项目2、5、6、14的上述具体问题；四份新版本的DOCX媒体部件与前一版本逐项哈希一致，未改动图片。图像引用清单v48更新了可用项目的当前正文文件名；85项中75项完成精确哈希复核，项目3图3-1至图3-10共10项因《项目3_范例_v15.docx》当前缺失而明确标记为未复核。项目3 v16从未成功保存，v47中的v16映射已在v48纠正为最后核定的v15并标明阻塞；全文件搜索未找到副本。项目3原稿恢复前，不进行该项目内容修订、不宣称全书内容验收完成。财政部公开的2025年《会计基础工作规范》文本为征求意见稿；财政部2026年度立法工作安排仍将其列为研究制定、修改项目。本轮官方来源检索未发现已正式发布的新版本，但法规时效须在出版前再次核实。参考：https://kjs.mof.gov.cn/gongzuotongzhi/202509/t20250905_3971696.htm；http://tfs.mof.gov.cn/caizhengfazhidongtai/202606/t20260605_3991225.htm。Word分页、跨页表格、图片锚点及打印效果尚未实际渲染验收。未暂存、未提交。</w:t>
      </w:r>
    </w:p>
    <w:p>
      <w:r>
        <w:t>续审补充（2026年10月31日）：写作规则v46“现行稿件版本”清单滞后于工作区实际版本。现更新项目1—14版本清单，并将缺失的项目3标为“最后核定v15（正文文件待恢复）”，不把不存在的v16记为现行稿。写作规则升至v47；目录仍为v6。</w:t>
      </w:r>
    </w:p>
    <w:p>
      <w:r>
        <w:t>续审补充（2026年10月31日，法规应用清单核对）：按正文明确点名和附录表13-7检出七项法规/会计准则；另识别项目4增值税率、项目7个人所得税扣缴、项目6固定资产准则等正文实际涉及但未完整列入索引的依据，详见本表新增问题。更正此前记录的条文编号：个人信息保护法第七十三条第四项规定匿名化，第三项规定去标识化。此轮只更新审校记录，尚未改写项目13法规索引或相关正文；法规清单复核仍未完成。</w:t>
      </w:r>
    </w:p>
    <w:p>
      <w:r>
        <w:t>续审补充（2026年10月31日）：用户确认仓库中只有项目3 v10，先前工作区v15从未上传。后续项目3恢复方案确定为从GitHub v10为基线，完成核对后生成v11，不从空白重写，不把已丢失的工作区v15表述为仓库版本。图像引用清单v49将项目3映射改为仓库v10基线，但由于v10尚未复制回本地稿件目录，10项媒体仍标为阻塞。写作规则v48新增项目1—14全部43个任务的法规/准则备查矩阵和官方来源，区分明确引用与实质适用，不表示全书终审或渲染验收完成。</w:t>
      </w:r>
    </w:p>
    <w:p>
      <w:pPr/>
      <w:r>
        <w:t>续审补充（2026年10月31日）：依据用户确认的仓库基线，从GitHub项目3 v10复制修订，生成本地工作区文件“项目3_范例_v11.docx”，未从空白重写，也未声称恢复此前未上传的v15。v11保留原文主体、14张表和10项嵌入媒体；修正“多付金额=利息”的过度概括，补足RATE现金流时点及无附加费用假设（名义年化约17.97%、月复利有效年化约19.53%），修正满300减50与九折的完整区间规则，并将各任务拓展集中至项目末尾；会计拓展按《企业会计准则第4号——固定资产》第八条作条件性说明。综合练习表补入原价200元的门槛示例，促销规则及评分标准均保留并核对。v11重新打开校验通过，14表均在；10项DOCX嵌入媒体与源素材及清单SHA-256全部逐项匹配。图像引用清单更新为v50，项目3阻塞状态解除；写作规则更新为v49，项目3任务法规矩阵改按v11复核。环境未发现LibreOffice/soffice，页面分页与打印级版式未验收；工作目录尚未提交/推送，勿称已更新仓库。</w:t>
      </w:r>
    </w:p>
    <w:p>
      <w:pPr/>
      <w:r>
        <w:t>全书规则符合性复核（2026年10月31日）：按写作规则v49对项目1—14的当前稿逐项做结构、标题、拓展位置、模拟/正式法规边界和附录索引检查。发现并修正项目1标题含“AI”、综合练习中的编辑占位式措辞及一处空置且位置不当的拓展标题；发现项目2和项目3正文直接点名会计准则，已改为说明实质内容、将正式法规来源集中到项目13与附录；项目3合并拓展后的小节序号已连续。发现项目13附录索引遗漏正文实际涉及的增值税、数电发票、个人所得税、扣缴办法及存货/固定资产/收入准则，并遗漏个人信息保护法第73条第3、4项，现已补齐并更新会计基础工作规范状态提示。规则v50明确项目14终篇可在无必要拓展时由综合练习收束，以书面化先前的终篇例外。最新稿拟用版本：项目1 v18、项目2 v17、项目3 v11、项目4 v22、项目5 v16、项目6 v15、项目7 v13、项目8 v15、项目9 v11、项目10 v11、项目11 v8、项目12 v6、项目13 v10、项目14 v13；规则v50、图像引用清单v51、目录v6。静态核查未发现项目正文中的“待确认”编辑标记；出版级分页、字体替换和打印渲染仍需实际Word/兼容软件验收。</w:t>
      </w:r>
    </w:p>
    <w:p>
      <w:pPr/>
      <w:r>
        <w:t>结构复核补充（2026年10月31日）：在逐任务计数时发现项目11—13的思政园地内容虽每任务各有一份表格，但表格前另有同名独立段落，形成重复标签；已分别升版至项目11 v9、项目12 v7、项目13 v11并删除重复标签，使每任务保留单一园地呈现。当前图像清单v52按14个项目最新版本更新文件映射，后续再做全量媒体哈希核验。</w:t>
      </w:r>
    </w:p>
    <w:p>
      <w:pPr/>
      <w:r>
        <w:t>全量静态验收补充（2026年10月31日）：对本轮拟交付的项目1—14最新版本逐项目扫描：项目1—13各3个核心任务、项目14为4个任务；每个核心任务各有一处思政园地；项目1—13各有一个位于项目总结及综合练习之后的选学拓展板块，项目14按规则中终篇例外由综合练习收束。项目标题、任务数、占位字样、正式法规引用位置及A4页面尺寸/页边距检查通过。项目13法规与准则索引共14项（不含表头），涵盖矩阵中标注的个人信息、数据安全、增值税、数电发票、个人所得税、会计基础及企业/政府会计准则来源。图像引用清单v52的85项逐项核对，引用DOCX媒体、SHA-256及素材文件全部一致。DOCX压缩包均可打开。该核验为规则清单式静态结构与引用审查，不替代逐字终校、法规出版前时效复核或页面渲染；当前环境无LibreOffice/soffice，版式分页尚未验收。</w:t>
      </w:r>
    </w:p>
    <w:p>
      <w:pPr>
        <w:pStyle w:val="Heading1"/>
      </w:pPr>
      <w:r>
        <w:t>跨项目整体一致性复核（2026年10月31日）</w:t>
      </w:r>
    </w:p>
    <w:p>
      <w:r>
        <w:t>复核范围：项目1—14最新正文、写作规则、目录和图像引用清单。对照人物与公司设定、项目标题及任务标题、跨项目引用、核心数据的期间与口径。此项为静态内容一致性复核，不替代逐字终校、法规出版前复核或Word分页验收。</w:t>
      </w:r>
    </w:p>
    <w:p>
      <w:pPr>
        <w:pStyle w:val="ListBullet"/>
      </w:pPr>
      <w:r>
        <w:t>人物设定：按规则固定小何、小韩、孙悦、陈静、小周为女性，李想想、周明、王涛为男性；修正项目3将孙悦写作“他”、项目4将小何写作“他”、项目8将李想想写作“她”，以及项目14校园线误由青禾文具总经理周明点评社团报告的跨线串角。项目8不再把孙悦称为“出纳”，改为与规则相符的“实习生孙悦”。</w:t>
      </w:r>
    </w:p>
    <w:p>
      <w:pPr>
        <w:pStyle w:val="ListBullet"/>
      </w:pPr>
      <w:r>
        <w:t>工资月份：项目7任务7.1工资条与任务7.2演算均以王涛2026年1月为例；此前任务7.2导入称10月，与后续1月首个计税月份演算冲突。现统一为1月，并将写作规则中的固定案例月份同步更新；同时修正一处“这里这里”的重复字。</w:t>
      </w:r>
    </w:p>
    <w:p>
      <w:pPr>
        <w:pStyle w:val="ListBullet"/>
      </w:pPr>
      <w:r>
        <w:t>校园数据期间：项目8表8-1是2026年9月流水，收入2040元、支出599.50元；项目9与项目14使用的是全学期收支（收入2040元、支出1788元）。由于9月已收到本例学期全部收入，两处收入相同，但支出期间不同。现已在项目8表注和项目14来源说明中明确“9月单月支出不等于学期支出”，学期总额以项目9表9-1为准。</w:t>
      </w:r>
    </w:p>
    <w:p>
      <w:pPr>
        <w:pStyle w:val="ListBullet"/>
      </w:pPr>
      <w:r>
        <w:t>青禾文具现金口径：项目8—10、14的10月11750元按实际到账统计，其中包含一笔尚未履约的客户预收款；该数字是现金流入口径，不是已确认的会计收入。项目9表9-3及项目14相关说明现明确区分收款与收入；项目14的预收款示例改为在权责发生制利润表中误记收入，修正后不改变项目9按到账统计的现金收款及4550元结余。</w:t>
      </w:r>
    </w:p>
    <w:p>
      <w:pPr>
        <w:pStyle w:val="ListBullet"/>
      </w:pPr>
      <w:r>
        <w:t>目录与体例：目录旧版的项目1标题仍含“AI”，项目3标题及3.1仍称“利息”，项目8.1仍把9月流水写作学期流水，均与当前正文及教学口径不一致；现目录v7已同步正文题名与9月流水样例表述。项目1—14任务结构与终篇例外规则保持一致。</w:t>
      </w:r>
    </w:p>
    <w:p>
      <w:pPr>
        <w:pStyle w:val="ListBullet"/>
      </w:pPr>
      <w:r>
        <w:t>跨项目核对：星空读书会学期收入2040元、支出1788元、结余252元及预算差额，与项目2、9、14对应；9月表8-1的599.50元仅为当月支出。青禾文具10月实际到账11750元、实际付款7200元、收付差额4550元，与项目8—10、14相符；后者均注明结余不等同利润。</w:t>
      </w:r>
    </w:p>
    <w:p>
      <w:pPr>
        <w:pStyle w:val="ListBullet"/>
      </w:pPr>
      <w:r>
        <w:t>复核后版本：项目1 v18、2 v17、3 v12、4 v23、5 v16、6 v15、7 v14、8 v16、9 v12、10 v12、11 v9、12 v7、13 v11、14 v14；写作规则v52、目录v7、图像引用清单v53。本轮变更仅涉及明确的人物指代、角色称谓、时间与口径澄清及目录同步；未改动图像媒体。</w:t>
      </w:r>
    </w:p>
    <w:p>
      <w:pPr>
        <w:pStyle w:val="ListBullet"/>
      </w:pPr>
      <w:r>
        <w:t>复验说明：最新14份稿件结构静态审计仍为0项问题；图像清单85项的DOCX媒体、素材与SHA-256需在版本文件映射更新后重新核对。页面渲染、分页/跨页表格、打印效果仍未完成。</w:t>
      </w:r>
    </w:p>
    <w:p>
      <w:r>
        <w:t>本轮全书复核（2026-10-31）：修正9个项目中正文图号的重复引导，澄清项目8表8-1对后续学期汇总的前向引用；补全写作规则核心数据段，更新目录规划基线、青禾现金口径区分及项目3现行稿引用；按作者意见删除书稿中的具体法规条文和时效性法规索引，保留一般数据保护操作原则；项目版本表与图像引用清单同步。14份项目结构和85项媒体哈希复验通过；Word实际分页仍需出版前渲染检查。 另修正项目9、10中“词元式”这一不规范表述，改为“按上下文逐个预测词元”，避免误述生成机制。</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