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pStyle w:val="Heading3"/>
      </w:pPr>
      <w:r>
        <w:t>1.1.1 五类常用工具及其典型任务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这五类之间并没有截然的界限。一个工具可能同时提供对话、写作和图像能力，一个办公插件也可能内置表格分析功能。因此，判断一个工具属于哪一类，不应依据品牌名称，而应依据它实际能做什么、在什么环境中使用，以及输出的是什么形式。1.1.3将进一步说明，如何从任务的产出出发选择类型。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>
      <w:pPr>
        <w:pStyle w:val="Heading3"/>
      </w:pPr>
      <w:r>
        <w:t>1.1.2 两类发展中的工具与类型对照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ind w:firstLine="420"/>
      </w:pPr>
      <w:r>
        <w:rPr>
          <w:b w:val="0"/>
        </w:rPr>
        <w:t>智能体与普通对话工具的主要区别，在于它能够把一个目标拆分成若干步骤，并在执行过程中调用搜索、表格、日历等外部工具。例如，若给它设定“每周汇总小组进度并提醒未提交的成员”这一目标，它可能需要读取表格、比对名单、生成提醒文字，最后再决定是否发送。这种自主性提高了效率，也带来了新的风险：每一步操作都可能产生真实的后果，因此关键节点应保留人工确认，这一问题将在第10章中专门讨论。</w:t>
      </w:r>
    </w:p>
    <w:p>
      <w:pPr>
        <w:ind w:firstLine="420"/>
      </w:pPr>
      <w:r>
        <w:rPr>
          <w:b w:val="0"/>
        </w:rPr>
        <w:t>学习与科研辅助工具的价值，在于帮助人快速定位文献、整理笔记和梳理概念之间的关系。但它给出的文献题目、摘要和结论同样可能不准确。合理的用法，是把它当作检索的起点，用它缩小范围，再回到原始出处逐条核实；绝不能把它的输出直接写进参考文献。第5章将具体讨论这一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/>
    <w:p>
      <w:pPr>
        <w:pStyle w:val="Heading3"/>
      </w:pPr>
      <w:r>
        <w:t>1.1.3 按产出判断工具类型</w:t>
      </w:r>
    </w:p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需要注意的是，判断类型时不仅要看产出，还要看输入。即使产出是一段文字，只要输入中含有他人的个人信息或未公开的材料，就应先按1.3节的隐私维度作出判断，再决定使用哪一类工具。产出与输入两方面的判断结合起来，才能得到比较稳妥的选择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pStyle w:val="Heading3"/>
      </w:pPr>
      <w:r>
        <w:t>1.2.1 大模型的来历与基本任务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pStyle w:val="Heading3"/>
      </w:pPr>
      <w:r>
        <w:t>1.2.2 词元与逐个生成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不少平台按输入和输出的词元数量计费，或以此限定免费额度，因此冗长的背景材料和反复的长对话，都会增加消耗。在比较工具时，应当把“完成一项任务大约需要多少词元”纳入成本的考虑，这也是1.3节所讨论的成本维度的一部分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pStyle w:val="Heading3"/>
      </w:pPr>
      <w:r>
        <w:t>1.2.3 上下文窗口与参数设置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pStyle w:val="Heading3"/>
      </w:pPr>
      <w:r>
        <w:t>1.2.4 幻觉与知识时效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因此，在使用中可以建立一个简单的分工：凡是需要事实准确的内容，如日期、数据、政策条文和文献信息，都应以原始来源为准，模型只用来帮助理解、组织和表达；凡是创意性或方案性的内容，如标题、结构和备选方案，模型的输出只是起点，取舍仍需由使用者判断。第2章的提示词设计与核验方法，正是围绕这一分工展开的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比较工具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小何在宿舍比较候选工具（卡通示意）</w:t>
      </w:r>
    </w:p>
    <w:p>
      <w:pPr>
        <w:pStyle w:val="Heading3"/>
      </w:pPr>
      <w:r>
        <w:t>1.3.1 明确目标与比较维度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pStyle w:val="Heading3"/>
      </w:pPr>
      <w:r>
        <w:t>1.3.2 隐私与账号安全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-5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pStyle w:val="Heading3"/>
      </w:pPr>
      <w:r>
        <w:t>1.3.3 工具比较与情境权衡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jc w:val="center"/>
      </w:pPr>
      <w:r>
        <w:rPr>
          <w:b/>
          <w:sz w:val="21"/>
        </w:rPr>
        <w:t>表1-4　三种情境下的工具选择优先级（示例）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首要考虑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适合的工具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一小时内起草通知初稿，内容不涉及隐私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可用性与速度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响应迅速的对话工具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时间紧迫，内容风险较低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整理含同学姓名和报名信息的表格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学校提供、数据可控的工具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涉及个人信息，隐私具有优先效力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为宣传方案核对数字与出处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功能匹配与可核验性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能给出依据、便于人工核对的工具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产出需要逐项核对，不能只求流畅</w:t>
            </w:r>
          </w:p>
        </w:tc>
      </w:tr>
    </w:tbl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pStyle w:val="Heading3"/>
      </w:pPr>
      <w:r>
        <w:t>1.3.4 记录选择依据并定期复查</w:t>
      </w:r>
    </w:p>
    <w:p>
      <w:pPr>
        <w:ind w:firstLine="420"/>
      </w:pPr>
      <w:r>
        <w:rPr>
          <w:b w:val="0"/>
        </w:rPr>
        <w:t>图1-6以雷达图的形式，比较了三类工具在五个维度上的示例评分。评分只用于说明权衡的思路，并非对具体产品的测评，实际选择时仍应以任务需求为准。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三类工具的选择维度（示例数据）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ind w:firstLine="420"/>
      </w:pPr>
      <w:r>
        <w:rPr>
          <w:b w:val="0"/>
        </w:rPr>
        <w:t>一份合格的选择说明，除了写出结论，还应写明依据来自哪里：是服务条款中的哪一条，是试用时的哪一次输出，还有哪些风险尚未解决。例如，“选择工具甲，因为其条款说明输入内容不用于训练，并已在试用中确认不保存历史记录”，就比“工具甲更好用”更经得起检验。由于工具的条款和功能都可能随时间变化，选择说明也应当定期复查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pStyle w:val="Heading3"/>
      </w:pPr>
      <w:r>
        <w:t>1.4.1 计算思维及其四个步骤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pStyle w:val="Heading3"/>
      </w:pPr>
      <w:r>
        <w:t>1.4.2 以宣传方案为例拆解任务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-7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用计算思维拆解“社团活动宣传”任务</w:t>
      </w:r>
    </w:p>
    <w:p>
      <w:pPr>
        <w:ind w:firstLine="420"/>
      </w:pPr>
      <w:r>
        <w:rPr>
          <w:b w:val="0"/>
        </w:rPr>
        <w:t>表1-5列出了四个步骤的含义，以及它们在小何任务中的具体体现。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表1-5　计算思维四个步骤及其在宣传任务中的体现（示例）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pStyle w:val="Heading3"/>
      </w:pPr>
      <w:r>
        <w:t>1.4.3 拆解的粒度与常见失误</w:t>
      </w:r>
    </w:p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pStyle w:val="Heading3"/>
      </w:pPr>
      <w:r>
        <w:t>1.5.1 实训的任务与基本步骤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-8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工具选择与配置实训的基本流程（示意）</w:t>
      </w:r>
    </w:p>
    <w:p>
      <w:pPr>
        <w:pStyle w:val="Heading3"/>
      </w:pPr>
      <w:r>
        <w:t>1.5.2 任务单、核验记录与评分量规</w:t>
      </w:r>
    </w:p>
    <w:p>
      <w:pPr>
        <w:ind w:firstLine="420"/>
      </w:pPr>
      <w:r>
        <w:rPr>
          <w:b w:val="0"/>
        </w:rPr>
        <w:t>表1-6是实训的任务单模板。任务单的每一项都必须填写，不能留空。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在试用阶段，应当记录每一次输入和输出，并标注哪些内容经过了核验。表1-7是建议使用的核验记录表。</w:t>
      </w:r>
    </w:p>
    <w:p>
      <w:pPr>
        <w:jc w:val="center"/>
      </w:pPr>
      <w:r>
        <w:rPr>
          <w:b/>
          <w:sz w:val="21"/>
        </w:rPr>
        <w:t>表1-7　实训核验记录表（示例）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评分的依据见表1-8。实训的重点不是得到一个完美的结果，而是能否清楚说明选择的过程，并对结果负责。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pStyle w:val="Heading3"/>
      </w:pPr>
      <w:r>
        <w:t>1.5.3 核验方法与对照检查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jc w:val="center"/>
      </w:pPr>
      <w:r>
        <w:rPr>
          <w:b/>
          <w:sz w:val="21"/>
        </w:rPr>
        <w:t>表1-9　实训中三种核验方法的比较（示例）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对照原始材料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把数字、日期、名称与原始文件逐一比对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最可靠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费时，依赖原始材料能否获得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交叉验证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用另一种工具或独立渠道再次确认同一信息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能发现单一来源的错误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两个来源可能同时出错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合理性判断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检查结果是否符合常识，如人数是否超出场地容量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快速，能及早发现明显偏差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只能发现明显问题，不能证实准确性</w:t>
            </w:r>
          </w:p>
        </w:tc>
      </w:tr>
    </w:tbl>
    <w:p>
      <w:pPr>
        <w:pStyle w:val="Heading3"/>
      </w:pPr>
      <w:r>
        <w:t>1.5.4 评分要点与常见困难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pPr>
        <w:ind w:firstLine="420"/>
      </w:pPr>
      <w:r>
        <w:rPr>
          <w:b w:val="0"/>
        </w:rPr>
        <w:t>价值自评：你为一项真实任务选择工具时，是否能说清楚选择的理由、数据的去向以及结果的核验方式？如果其中某一项说不清楚，你打算如何补充？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-6的任务单；第二步，选择三种候选工具，按表1-3的维度比较，并写明各自的隐私与数据去向；第三步，选定一种工具，完成账号安全设置，并进行试用；第四步，用表1-7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第1章知识结构</w:t>
      </w:r>
    </w:p>
    <w:p>
      <w:pPr>
        <w:ind w:firstLine="420"/>
      </w:pPr>
      <w:r>
        <w:rPr>
          <w:b w:val="0"/>
        </w:rPr>
        <w:t>图1-10概括了本章的主要知识点及其关系，可以作为复习时的索引。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图1-10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