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从一张报销单说起：票据与报销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项目导入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spacing w:line="280" w:lineRule="exact" w:before="120"/>
        <w:jc w:val="center"/>
      </w:pPr>
      <w:r>
        <w:drawing>
          <wp:anchor xmlns:a="http://schemas.openxmlformats.org/drawingml/2006/main" distT="114300" distB="11430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报销场景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120" w:after="12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小周在一家文创用品公司的财务部实习。上周，市场部的两位同事去外地参加展会，回来交来一叠报销材料：高铁票、网约车行程单、酒店发票、几张餐饮小票。部门经理让小周先整理，看哪些能报销、哪些需要补充。小周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要判断一笔钱能不能报，先要看懂票据，知道票据上哪些信息证明了这笔钱的用途和去向。这正是本项目要解决的问题。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spacing w:line="280" w:lineRule="exact" w:before="120"/>
        <w:jc w:val="center"/>
      </w:pPr>
      <w:r>
        <w:drawing>
          <wp:anchor xmlns:a="http://schemas.openxmlformats.org/drawingml/2006/main" distT="114300" distB="11430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票据整理场景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120" w:after="12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图4-3 从三个审核维度对几类常见票据作了归纳，便于快速判断。</w:t>
      </w:r>
    </w:p>
    <w:p>
      <w:pPr>
        <w:spacing w:line="280" w:lineRule="exact" w:before="120"/>
        <w:jc w:val="center"/>
      </w:pPr>
      <w:r>
        <w:drawing>
          <wp:anchor xmlns:a="http://schemas.openxmlformats.org/drawingml/2006/main" distT="114300" distB="11430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票据审核矩阵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120" w:after="12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（可用配套的“图4-5 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图4-4 展示了上述核对流程，可以作为操作时的参考。</w:t>
      </w:r>
    </w:p>
    <w:p>
      <w:pPr>
        <w:spacing w:line="280" w:lineRule="exact" w:before="120"/>
        <w:jc w:val="center"/>
      </w:pPr>
      <w:r>
        <w:drawing>
          <wp:anchor xmlns:a="http://schemas.openxmlformats.org/drawingml/2006/main" distT="114300" distB="11430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核对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120" w:after="12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配套的交互工具“图4-5 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小周把分类结果交给部门经理。经理看后说：“以后你先用这张核对表过一遍，再拿给我看。另外，去年的差旅制度你要先读一遍，很多问题在制度里都有答案。”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法律与制度依据（本任务引用）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本任务正文引用的法律法规条文共3条，均已对照国家机关网站发布的文本核实，核实日期为2026年10月27日。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3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