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项目11 从报销制度说起：财务知识库的建立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图11-1 学习目标思维导图</w:t>
      </w:r>
    </w:p>
    <w:p>
      <w:pPr>
        <w:pStyle w:val="Heading2"/>
      </w:pPr>
      <w:r>
        <w:t>任务11.1 整理制度文件，为知识库准备素材</w:t>
      </w:r>
    </w:p>
    <w:p>
      <w:pPr>
        <w:pStyle w:val="Heading3"/>
      </w:pPr>
      <w:r>
        <w:t>导入：一份制度，三十页，没人愿意翻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负责社团经费管理时，学院下发了一份《学生社团经费报销办法（示例）》。文件共三十页，有章、有条、有附件，还有几处前后不一致的地方。社员们在群里提问：“没有发票能不能报？”“活动结束后多久内要交单据？”小何每次都要翻很久，还常常只凭记忆回答，一次把“十五个工作日”说成了“十五天”，差一点让一位社员错过报销期限。她意识到，要让大家随时查到准确的规定，首先要把制度整理好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也遇到了类似的问题。公司的《费用管理制度（示例）》更新过两次，部门经理同时保存着三个版本的电子文件。出差补贴的标准到底以哪个版本为准，没有人说得清。孙悦决定先做一件基础工作：把制度拆成条款，逐条标明版本、生效日期和适用范围。这项工作看似枯燥，却是后面建立知识库的前提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图11-2 小何在办公桌前核对制度条款</w:t>
      </w:r>
    </w:p>
    <w:p>
      <w:pPr>
        <w:ind w:firstLine="0"/>
      </w:pPr>
    </w:p>
    <w:p>
      <w:pPr>
        <w:pStyle w:val="Heading3"/>
      </w:pPr>
      <w:r>
        <w:t>一、制度文件的结构与要素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制度文件通常由总则、分则、附则和附件组成。总则说明目的和适用范围，分则规定具体事项，附则说明解释权与施行日期，附件则是表格、标准和示例。对于财务工作者来说，最需要关注的是“条款”。条款是可以被引用的最小单位，它有编号，有明确的主语和要求，例如“第三条 报销凭证应当抬头为本单位全称”。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应当至少记录五个要素：制度名称、版本号、发布日期与施行日期、适用对象、修订或废止情况。这五个要素决定了一条规定在什么时间、对什么人有效。很多误用制度的情况，并不是因为条款看错了，而是因为使用了已经废止的版本，或者把适用于部门的规定当成了全单位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【通识】条款编号看似简单，却是可追溯性的基础。只有编号稳定，人们才能说清“按第几条处理”，别人也才能核对。因此，整理制度时不要随意删改编号，如果需要调整，应当在修订记录中写明理由。</w:t>
      </w:r>
    </w:p>
    <w:p>
      <w:pPr>
        <w:pStyle w:val="Heading3"/>
      </w:pPr>
      <w:r>
        <w:t>二、把制度拆成可检索的条目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拆分的基本原则是“一条一目”。一个条目只表达一个规定，并保留原文的条款编号和表述。例如，原文中同一条里既有“发票抬头”的要求，又有“报销期限”的要求，就应当拆成两个条目，分别标注编号。拆分时可以在条目前加上章节标题，使检索时能看到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表11-1 是星空读书会整理《报销办法》时使用的记录格式。它把每个条目的来源、版本和状态列出来，便于日后检查。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表11-1 制度文件整理记录（示例）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制度名称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版本与施行日期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第五条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采购物资的社团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有效，需核对期限单位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旧版，已由新版替代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已废止，不得引用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第四行的“旧版”记录很重要。知识库如果同时收录了新旧两个版本，问答时很容易引用已经废止的条款。因此，整理阶段就要把废止条款单独标注，或者不纳入知识库。</w:t>
      </w:r>
    </w:p>
    <w:p>
      <w:pPr>
        <w:pStyle w:val="Heading3"/>
      </w:pPr>
      <w:r>
        <w:t>三、保留原文，不做随意改写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最容易出错的环节是改写。整理者往往习惯用自己的话概括规定，例如把“十五个工作日”写成“半个月”，把“不得重复报销”写成“注意不要重复”。这些改写看似方便，却可能改变原意。改写之后，知识库给出的答案就不再是制度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更稳妥的做法是：条目的正文保留原文，摘要只用于辅助检索，并且必须与原文一一对应。表11-2 显示了两者的区别。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表11-2 条款原文与摘要对照（示例）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条款原文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可用于检索的摘要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活动结束后十五个工作日内提交报销材料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报销期限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“工作日”不等于“天”，摘要中不得省略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报销凭证应当抬头为本单位全称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抬头必须与社团全称一致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第十二条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同一票据只能报销一次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与第八条分属不同条款，不可合并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【通识】“保留原文”不等于照抄全部文字。对于附件中的标准表格，可以只保留表头和关键数字，但必须注明来源附件及其编号。对于需要解释的内容，解释应当与原文分开存放，避免解释被误当成制度本身。</w:t>
      </w:r>
    </w:p>
    <w:p>
      <w:pPr>
        <w:pStyle w:val="Heading3"/>
      </w:pPr>
      <w:r>
        <w:t>四、AI操作：用大模型协助整理条目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擅长把一段长文字切成结构清晰的列表，也能帮助我们发现前后矛盾之处。但它也可能为了让文字“更通顺”而改动原意。因此，使用大模型整理制度时，提示词中必须明确限制：不改写、保留编号、标出不确定之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小何使用的提示词是：“请把下面的《报销办法》第三条至第十二条整理成知识库条目。每条保留条款编号和原文，不要改写；如果原文含糊或前后矛盾，请单独列出，不要自行判断。”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大模型的回复是：“第三条：报销凭证应当抬头为本单位全称；第八条：活动结束后十五天内提交报销材料；第十二条：同一票据只能报销一次。”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份回复有两处问题。第一，“十五个工作日”被改成了“十五天”，改变了期限的计算方式。第二，它没有标出“工作日”与“自然日”的区别，也没有提示原文的歧义。大模型的回复语言流畅，但流畅不代表准确。小何把原文与回复逐条对照后，发现了这一错误，并在条目中改回原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这个例子说明，大模型可以加快整理速度，却不能替代对照原文的工作。每一个条目都应当回到原件核对，核对的结果要记录下来。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重新整理后，把《报销办法》拆成了十八个条目，每个条目都有编号、版本与原文。她还单独列出了两处需要向学院确认的内容：一是“工作日”的计算是否排除节假日，二是附件中的标准是否与正文一致。她把这两个问题发给了指导老师，并在条目中标注“需向学院核实”。这样，大家在问答时就不会把未确认的内容当作定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《费用管理制度（示例）》的三个版本进行了对比，确认了当前有效的是最新版本，并把两个旧版标注为“已废止”。她在整理表中加入了“适用对象”一列，区分了全体员工与销售部门的规定。部门经理看到整理表后说：“以前大家问的都是‘公司是怎么规定的’，现在可以问‘哪一条、哪个版本’了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误区一：把制度当成口诀。把“三张票据、两个签字”这样的口诀代替原文，很容易漏掉例外情形。口诀可以帮助记忆，但不能作为知识库的内容。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误区二：只保留最新版本，却不标注日期。最新版本未必适用于所有情形，例如某些规定只适用于施行日之后发生的业务。没有日期，就无法判断旧业务应当按哪一版处理。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误区三：用摘要代替原文。摘要省略了限制条件，问答时就可能给出过于宽松的答案。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误区四：把个人经验写进制度。例如“通常领导都会批”这样的说法，并不是制度的内容。知识库中只能包含经过确认的规定。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思政园地：规则要写准，才能守得住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把“十五个工作日”理解为“十五天”，提前一周提交了材料，结果被退回。后来小何在群里说明了原文的含义，并把计算方式写进了条目。她说：“我们不是为了刁难谁，而是要让每个人都按同一个标准办事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曾经凭记忆告诉员工一个差旅标准，后来发现该标准已经在新版中修改。员工按旧标准报销，财务部门只能逐笔退回。孙悦建议把每条规定都标注版本，经理同意后，财务部门的退回次数明显减少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总结下面的费用制度，告诉我员工出差可以报销哪些费用。”（输入的制度文本中含有两个版本的内容，未标注版本。）AI大模型回复：“员工出差可以报销交通费、住宿费和餐费，住宿费按照统一标准执行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段回复看似完整，却没有说明标准是哪一版的，也没有指出输入中两个版本的差异。由于住宿标准在两个版本中并不相同，员工拿到这个答案后，很可能按错误的标准报销。大模型会把它看到的所有内容综合成一段通顺的话，但它无法判断哪一版仍然有效。人工整理版本、标注来源，是防止这类错误的第一道关口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为什么说“通顺”的回答也可能是错误的？请结合上面的例子说明。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如果你的学生组织修改了报销规定，旧规定应当如何处理？是直接删除，还是保留并标注？理由是什么？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当制度原文含糊时，应当由谁来解释？大模型可以承担解释的责任吗？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是责任的边界，也是知识库的根基。人工智能大模型能够快速整理和总结文字，但它不知道哪一版有效，也不承担制度执行的后果。把版本、来源和原文守住，才能让每一次回答都有据可查。这既是对同伴负责，也是对规则的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整理任何制度前，先确认其版本、施行日期和适用对象，并在整理表中逐项记录。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对每一个由大模型整理的条目，与原文逐字对照，发现差异时以原文为准。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AI使用承诺：我承诺不把大模型的概括当作制度原文，所有进入知识库的条目都经过本人核对并保留来源。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每条都有条款编号、版本和施行日期；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已废止的版本已标注或移出知识库；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大模型整理的内容已逐条与原文核对，差异已修正。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找一份你所在学生组织或学校的制度文件，选取其中一章，按照表11-1 的格式整理出至少八个条目，并标注版本与施行日期。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对照表11-2，检查你整理的条目是否存在改写，并列出每一处改写的原文与修改后的文字。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用大模型整理同一章内容，并要求它保留编号和原文。比较两份结果，写出至少两处差异，并说明以哪一份为准。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1）制度文件要按条款拆分，每个条目保留编号、版本、施行日期和适用对象。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2）条目正文以原文为准，摘要只用于检索，不能省略限制条件。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3）大模型可以加快整理，但每一条都要回到原文核对，废止版本必须移出知识库。</w:t>
      </w:r>
    </w:p>
    <w:p>
      <w:pPr>
        <w:pStyle w:val="Heading2"/>
      </w:pPr>
      <w:r>
        <w:t>任务11.2 用AI建立可以提问的知识库</w:t>
      </w:r>
    </w:p>
    <w:p>
      <w:pPr>
        <w:pStyle w:val="Heading3"/>
      </w:pPr>
      <w:r>
        <w:t>导入：问题来了，答案要有出处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完条目之后，小何希望社员们可以直接提问，例如“拍照的物料票据能不能报？”系统应当找到相关条款，并说明依据。她想到了大模型知识库的做法：先把条目存入资料库，提问时让系统先检索相关条款，再让大模型依据条款作答。但她也担心：如果系统找不到依据，大模型会不会自己编一个答案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孙悦的目标更具体：让销售部门的员工可以提问差旅标准，并且每个答案都能显示对应条款。她希望问答系统既能查询，也能在不确定时明确说“制度未规定”，而不是给出一个看似合理的数字。</w:t>
      </w:r>
    </w:p>
    <w:p>
      <w:pPr>
        <w:ind w:firstLine="0"/>
      </w:pPr>
    </w:p>
    <w:p>
      <w:pPr>
        <w:pStyle w:val="Heading3"/>
      </w:pPr>
      <w:r>
        <w:t>一、知识库由哪些部分组成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可以提问的知识库，通常包括四个部分。第一是资料库，即经过整理的条目；第二是切分，即把较长的文本切成适当的片段；第三是检索，即根据问题找出最相关的片段；第四是生成，即由大模型依据检索到的片段组织回答，并注明来源。四个部分缘于同一个目标：让回答有据可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这种把“检索”与“生成”结合起来的方式，常被称为检索增强生成。它的核心思想是：大模型不凭记忆回答，而是先查找资料，再依据资料作答。这样做可以减少编造，但并不能完全消除错误。如果检索找错了条款，大模型依然可能给出错误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识库的效果，取决于每个部分的质量。资料库不完整，检索就找不到依据；切分不当，片段可能缺少限制条件；检索不准，大模型拿到的就是无关内容；生成规则不严，大模型就会在依据不足时补充自己的想象。</w:t>
      </w:r>
    </w:p>
    <w:p>
      <w:pPr>
        <w:pStyle w:val="Heading3"/>
      </w:pPr>
      <w:r>
        <w:t>二、切分与检索：把制度切成合适的片段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切分是指把资料分成若干片段，每个片段是检索的基本单位。切得太大，片段里会混入大量无关内容，检索的精度下降；切得太小，片段可能缺少前提条件，例如只取到“报销期限”，却漏掉“以本办法施行之日起”的限定。因此，制度类资料通常按条切分，并把条款编号和章节标题作为片段的一部分保留下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的方式可以是关键词匹配，也可以是语义匹配。关键词匹配容易理解，但“物料票据”和“采购凭证”这样的近义表达可能无法被识别；语义匹配可以找到意思相近的内容，却可能把相似但不同的规定混在一起。实际工作中，两种方式常常结合使用，并通过测试来调整。</w:t>
      </w:r>
    </w:p>
    <w:p>
      <w:pPr>
        <w:pStyle w:val="Heading3"/>
      </w:pPr>
      <w:r>
        <w:t>三、知识库的参数设置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建立知识库时，需要设定若干参数。表11-3 列出了常见的参数及其作用。这些参数没有统一标准，应当根据资料的特点和测试结果来确定。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表11-3 知识库参数设置（示例）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设置建议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切分单位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决定片段的大小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按条切分，保留编号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制度的最小可引用单位是条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每次取回的片段数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开始时取三至五条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太少可能漏条，太多会引入无关内容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规定大模型如何使用依据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只依据检索内容，无依据则拒答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规定回答必须附带的信息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注明条款编号与版本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便于人工核对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决定是否收录废止条款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仅收录有效版本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防止引用旧规定</w:t>
            </w:r>
          </w:p>
        </w:tc>
      </w:tr>
    </w:tbl>
    <w:p>
      <w:pPr>
        <w:ind w:firstLine="0"/>
      </w:pPr>
    </w:p>
    <w:p>
      <w:pPr>
        <w:pStyle w:val="Heading3"/>
      </w:pPr>
      <w:r>
        <w:t>四、AI操作：设置回答规则并建立问答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答规则是知识库中最重要的设置。它告诉大模型：什么可以说，什么不能说，依据不足时怎么办。孙悦在建立知识库时，使用了如下提示词：“你是财务制度问答助手。请只依据下面提供的条款回答问题，不得补充条款以外的内容。回答必须注明条款编号和版本。如果条款中没有相关规定，请回答‘制度未规定’，并建议咨询经办部门。”</w:t>
      </w:r>
    </w:p>
    <w:p>
      <w:pPr>
        <w:ind w:firstLine="480"/>
        <w:jc w:val="both"/>
      </w:pPr>
      <w:r>
        <w:t>流程图展示了知识库的基本问答流程。系统先检索相关条款，然后判断是否找到依据：找到依据时，生成回答并注明条款编号，再由人工抽查引用原文；找不到依据时，直接回答“制度未规定”，不做推测。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528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3_知识库问答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图11-3 知识库问答流程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回答规则的效果，孙悦用一个问题进行了测试：“销售部门员工出差可以乘坐高铁一等座吗？”制度中并没有关于座位等级的规定。系统的回复是：“制度未规定。建议咨询经办部门。”这个回答没有编造内容，符合要求。但如果检索没有找到条款，大模型是否还会依赖自己的常识来回答？孙悦又把“检索数量”调为零，重新测试，发现大模型给出了一个笼统的答案。由此可见，回答规则必须与检索设置配合，才能真正防止编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【提醒】大模型的回答规则是提示词，不是强制规定。提示词可以被忽略，也可能在复杂问题中失效。因此，需要通过测试来验证，而不能认为设置一次就一劳永逸。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知识库建立后，社员们可以通过提问查询规定。对于“拍照的物料票据能不能报”这样的问题，系统会返回对应条款，并提示“以原票为准，需人工核对”。对于没有规定的问题，例如“社团能不能购买咖啡机”，系统会回答“制度未规定”。小何说，最大的变化是大家不再凭记忆争论，而是先看条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知识库在销售部门试运行。员工提问时，系统会返回条款编号和版本。部门经理发现，系统对“已废止”的条款有明确的提示，于是要求财务部门每季度更新一次版本。孙悦把更新的流程写进了整理表的说明中，以便日后有人接手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误区一：认为知识库建好了就不用维护。制度会修订，知识库也必须同步更新，否则答案会过时。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误区二：只看回答是否通顺。通顺的回答不一定有据可查，必须检查它是否注明了条款编号。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误区三：认为大模型“记得”制度。大模型并不记得学院或公司的制度，它只能依据提供给它的内容作答。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误区四：把回答规则写得越多越好。规则太复杂，大模型可能无法同时遵守，应当保留最关键的几条并通过测试验证。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思政园地：不知道就说不知道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在群里提问：“社团能不能用经费给每位社员买一本书？”知识库的回答是：“制度未规定。建议咨询经办部门。”有人觉得这个回答太保守，小何却认为这正是知识库应当有的样子。她说：“我们宁可承认制度没有规定，也不能让系统替学院做决定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部门的一位员工想知道某类客户招待费的上限，知识库没有找到依据。他原本打算按照以往的做法报销，但系统的回答提醒他先咨询财务部门。他最终在财务部门的指导下完成了报销。部门经理说：“这种提醒比一个错误的数字更有价值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告诉我，销售部门员工招待客户的费用上限是多少。”（知识库中没有相关条款，且未设置“无依据则拒答”的规则。）AI大模型回复：“一般而言，招待费用上限为每人每次三百元，具体以公司规定为准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数字没有来源，也不在制度中。它看起来像一个合理的常识，但大模型是根据训练中的常见说法生成的，并不是本公司的规定。如果员工据此报销，就可能造成超标支出。这正是知识库需要“无依据则拒答”规则的原因。人工智能可以帮助我们快速回答，但它不能替代制度本身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为什么“制度未规定”比一个看似合理的数字更安全？请结合本任务的案例说明。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如果员工多次遇到“制度未规定”，学生组织或公司应当如何改进制度？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当大模型给出的答案没有来源时，你会如何判断它能不能用？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诚实地承认不知道，是一种负责任的态度。知识库的价值，不在于回答所有问题，而在于回答有据可查的问题。人工智能大模型是强大的工具，但它需要被设定边界。设定边界、接受“制度未规定”这样的回答，是财务工作者对规则和同伴的基本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在知识库中设置“无依据则拒答”的规则，并定期测试是否有效。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对“制度未规定”的问题进行记录，作为制度修订的依据。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AI使用承诺：我承诺不把大模型的推测当作制度规定，对没有依据的回答，一律向经办部门或财务部门核实。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回答规则已写明“只依据条款”与“无依据则拒答”；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回答均注明条款编号与版本；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对“制度未规定”的问题已有记录与处理办法。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为你整理的制度条目设计五个问题，其中三个有依据，两个没有依据。用知识库回答后，检查有依据的问题是否注明了条款编号。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修改回答规则，使其更严格或更宽松，比较两次回答的差异，并说明哪一种设置更适合你的制度。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用表11-3 的格式，记录你所设置的参数及理由。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1）知识库由资料库、切分、检索和生成四部分组成，每部分的质量都会影响最终答案。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2）回答规则要求“只依据条款、注明出处、无依据则拒答”，并且必须与检索设置配合。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3）知识库需要持续维护，制度修订后应同步更新，并通过测试检验效果。</w:t>
      </w:r>
    </w:p>
    <w:p>
      <w:pPr>
        <w:pStyle w:val="Heading2"/>
      </w:pPr>
      <w:r>
        <w:t>任务11.3 用AI测试问答，并纠正错误</w:t>
      </w:r>
    </w:p>
    <w:p>
      <w:pPr>
        <w:pStyle w:val="Heading3"/>
      </w:pPr>
      <w:r>
        <w:t>导入：一个答案，要经过几轮检验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建好之后，小何并没有立即让全体社员使用。她想先检验它到底有多可靠。她设计了一批测试题，既有制度中明确规定的问题，也有制度没有规定的问题，还有容易混淆的问题。她希望通过测试，找出知识库最容易出错的地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孙悦也准备了一套测试题。她发现，部门经理提出的问题往往比较复杂，例如同时涉及两个条款，或者涉及旧版与新版的差别。她决定把这类问题单独列出来，作为重点测试对象。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4_测试错误类型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图11-4 测试中各类错误的次数（示例数据）</w:t>
      </w:r>
    </w:p>
    <w:p>
      <w:pPr>
        <w:ind w:firstLine="0"/>
      </w:pPr>
    </w:p>
    <w:p>
      <w:pPr>
        <w:pStyle w:val="Heading3"/>
      </w:pPr>
      <w:r>
        <w:t>一、测试题库的设计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题库应当覆盖知识库可能遇到的各种情形。通常可以分为五类：有明确依据的问题；没有依据的问题；容易混淆的问题，例如两个相似条款的区别；涉及版本变化的问题；需要综合多个条款的问题。每一类都应当有足够的题目，才能看出知识库的真实水平。表11-4 列出了一个测试题库的基本结构。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表11-4 测试题库设计（示例）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题目示例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检验重点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活动结束后多久内提交报销材料？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按原文作答，注明条款编号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期限单位是否正确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社团能否用经费购买咖啡机？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回答“制度未规定”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发票抬头与收据抬头的要求是否相同？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区分两条规定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是否混为一谈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旧版的住宿标准现在还适用吗？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说明旧版已废止，以新版为准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版本过滤是否生效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物料票据丢失，能否凭证明报销？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同时引用相关条款并说明限制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是否遗漏限定条件</w:t>
            </w:r>
          </w:p>
        </w:tc>
      </w:tr>
    </w:tbl>
    <w:p>
      <w:pPr>
        <w:ind w:firstLine="0"/>
      </w:pPr>
    </w:p>
    <w:p>
      <w:pPr>
        <w:pStyle w:val="Heading3"/>
      </w:pPr>
      <w:r>
        <w:t>二、评价维度与评分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时，不能只看回答是否“像样”，而要逐项检验。我们可以从四个维度评价：准确性，即回答与制度原文是否一致；依据完整性，即是否注明了条款编号和版本；是否编造，即是否包含制度之外的内容；拒答恰当性，即没有依据时是否如实说明。表11-5 是测试时使用的记录方式。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表11-5 问答评分记录（示例）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依据完整性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是否编造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拒答恰当性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</w:tbl>
    <w:p>
      <w:pPr>
        <w:ind w:firstLine="0"/>
      </w:pPr>
    </w:p>
    <w:p>
      <w:pPr>
        <w:pStyle w:val="Heading3"/>
      </w:pPr>
      <w:r>
        <w:t>三、错误类型与归因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找出错误之后，还要分析错误的来源。常见的错误类型包括：检索错误，即找到的条款不相关或遗漏了关键条款；理解错误，即条款找对了，但回答误解了原意；生成错误，即回答超出了条款的范围；版本错误，即引用了废止的内容。不同的错误需要不同的修正方法，如果不加区分，修正往往只是治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-4以示例数据演示如何按错误类型统计次数，数字并非根据表11-4的题库样例或表11-5的记录样例汇总，不能据此判断真实系统表现。仅按图示数据，检索找错条款的次数最多；尽管图示次数较少，编造内容仍可能造成较大风险，需要通过回答规则加以限制。</w:t>
      </w:r>
    </w:p>
    <w:p>
      <w:pPr>
        <w:pStyle w:val="Heading3"/>
      </w:pPr>
      <w:r>
        <w:t>四、AI操作：批量测试并记录结果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逐题测试费时较多，因此可以请大模型帮助整理测试结果，但判断本身仍应由人完成。孙悦使用的提示词是：“请对照下面的条款原文，检查这条回答是否准确、是否注明了条款编号、是否包含条款以外的内容。请逐项列出判断依据，不要直接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测试中，大模型对第三题的回复是：“回答准确，依据完整。”但孙悦对照原文后发现，发票抬头与收据抬头的要求并不相同，回答中混为一谈，依据也只注明了一条，不完整。大模型的判断过于乐观，因为它只看到了回答的文字，而没有仔细核对每一个限定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这说明，大模型可以帮助整理检查项，但不能替代人工判断。要求它“列出依据”，本身就是为了让人能够检查它的推理，而不是接受它的结论。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纠错要遵循一个基本顺序：先确定错误类型，再修改对应的设置，然后重新测试，并记录修正前后的差别。表11-6 是小何的纠错记录。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表11-6 纠错记录（示例）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修正方法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复测结果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两个条款的限定词相近，未区分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在条目前加入条款标题，并在提示词中要求区分相似规定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检索数量为一，只取到第一条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将检索数量调整为三，并按条切分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回答中补充了“需要领导签字”，条款中没有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在回答规则中增加“不得补充条款以外的内容”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纠错之后，还要检验修正是否带来了新的问题。例如，把检索数量调大，有时会引入无关条款，导致回答变长。因此，每一次修正之后，都应当重新运行完整的测试题库，而不是只测试出错的那一题。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过三轮测试，小何的知识库通过了全部测试题。她没有立即宣布上线，而是请指导老师抽查了二十个回答。抽查中发现一个问题：有一条旧版条款仍然出现在检索结果中。她重新检查了版本过滤设置，发现旧版条目在导入时没有被标注为废止。修正之后，知识库才正式向社员开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题库交给部门经理，请他补充了五道实际工作中遇到的复杂问题。测试结果显示，知识库对于明确的条款回答得较好，但对于涉及旧版与新版差别的问题，仍需要人工提醒。孙悦在使用说明中写明了这一限制，并建议员工在遇到此类问题时直接咨询财务部门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误区一：只测试会回答的问题。测试题库如果只包含有依据的问题，就无法发现知识库在拒答方面的缺陷。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误区二：认为大模型的自评可靠。让大模型给自己的回答打分，往往会得到偏高的结果。判断应当由人依据原文作出。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误区三：修正一个错误后不再复测。修正可能引入新的问题，每次修改都要重新运行完整题库。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误区四：测试通过就永久可靠。制度修订后，原来的测试结果可能失效，测试题库也需要同步更新。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思政园地：测试是对答案负责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在测试中发现，知识库曾经把“物料票据”与“采购凭证”混为一谈，给出了一个不完整的回答。如果她直接上线，社员们可能按照错误的理解报销。她在群里公开了这次测试的结果，并说明了修正过程。有社员说：“原来这个系统也会出错，我们更要看清楚原文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孙悦在上线前发现，知识库对于旧版与新版的差别仍有遗漏。她没有为了按时上线而隐瞒问题，而是在使用说明中写明了限制，并向部门经理汇报。经理同意延迟推广，等版本过滤功能完善后再开放全部功能。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提示词：“请检查下面的回答是否正确，如果正确，请直接说明‘通过’。”（回答的内容中，把“旧版”的住宿标准误作为现行标准。）AI大模型回复：“通过。回答与条款一致。”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一个明确的结论，但没有列出任何依据，也没有核对“旧版”与“现行”的区别。提示词中的“直接说明通过”，实际上限制了大模型的检查过程，使它更容易给出一个笼统的结论。人工检验时，应当要求大模型逐条列出依据，并由人对照原文确认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为什么测试时不能只看回答是否通顺、是否像样？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当大模型的判断与人工检查不一致时，应当以谁为准？请说明理由。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如果你的测试只发现了很少的错误，你会如何判断测试题库是否足够严格？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是对答案的负责，也是对使用者的负责。人工智能大模型能够快速回答问题，但它并不知道自己是否正确。只有通过有计划的测试、诚实的记录和持续的修正，知识库才能真正成为可靠的工具。把错误摆到桌面上，比掩盖错误更需要勇气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上线前，用覆盖五类情形的测试题库完整测试一次，并保留全部记录。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每次修正后重新运行完整题库，并比较修正前后的结果。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AI使用承诺：我承诺不把大模型的自评当作检验结论，所有通过或不通过的判断都依据原文作出，并保留依据。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测试题库覆盖有依据、无依据、易混淆、涉及版本、综合多条五类情形；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每个错误都标明了错误类型、原因与修正方法；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修正后已完整复测，并保留记录。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为你的制度设计一套不少于十题的测试题库，覆盖五类情形，并说明每类题目的设计理由。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用大模型对你的测试结果进行初步检查，并要求其逐项列出依据。对照原文，写出至少一处大模型判断错误的情况。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选择一个你发现的错误，填写表11-6 的格式，说明错误类型、原因、修正方法和复测结果。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1）测试题库要覆盖有依据、无依据、易混淆、涉及版本和综合多条五类情形，拒答同样需要检验。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2）错误要先分类再归因，修正后必须完整复测，并保留记录。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3）大模型的自评不能代替人工判断，检验结论应当依据原文，并说明依据。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制度”为主线，围绕“知识库能否有据可查”这一核心问题，展开三个任务。任务11.1解决“素材从哪里来”的问题，学习制度文件的结构与要素，学会按条款拆分制度，保留原文与版本，并用大模型辅助整理，但逐条对照原文。任务11.2解决“如何建立问答”的问题，理解资料库、切分、检索与生成四个部分，学会设置回答规则，要求回答注明依据，无依据时拒答。任务11.3解决“答案是否可靠”的问题，设计测试题库，划分错误类型，修正后完整复测，并用人工判断取代大模型的自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整理好素材，才能建立可靠的知识库；知识库建好之后，必须通过测试检验，才能交付使用。本项目使用的大模型，始终是辅助工具。制度的版本由人确认，原文由人核对，答案由人检验，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表11-7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整理制度文件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条款、版本、施行日期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按条拆分，保留编号与原文，标注版本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不改写原文，不保留已废止版本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建立可提问的知识库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检索增强、切分、回答规则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按条切分，设置“只依据条款”的规则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无依据则拒答，回答必须注明依据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测试问答并纠正错误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测试题库、错误归因、复测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覆盖五类情形，分类归因，修正后完整复测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大模型自评不能代替人工判断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为员工建立一套费用报销问答知识库。表11-8提供一组教学用的《费用管理制度（模拟）》现行条款节选及两个旧版对照条文。请仅依据表中所给材料整理制度、设计问答与测试；材料未覆盖的问题，应写“所给材料未找到依据”，不得据此断言完整制度没有规定。请完成下列任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表11-8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资料编号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条款或资料原文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版本、施行日期及适用范围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A｜材料说明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本表为教学用模拟制度资料；只提供本次练习所需的现行条款节选和旧版对照条文。测试题应区分“材料有明确依据”“易混淆”“版本变化”“需综合多条”以及“所给材料未找到依据”。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不对应真实单位制度。材料未提及某事项，不等于完整制度绝无相关规定。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B｜现行版本信息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《费用管理制度（模拟）》2026版，五章二十四条。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2026年1月1日起施行；适用于全体员工；销售部门另适用第十条差旅补充规定。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C｜第三条（现行）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报销人应填写报销单，列明费用事由、日期和金额；部门负责人审核业务事由后签字。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2026版；全体员工。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D｜第四条（现行）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采购商品、接受服务取得的发票，购买方名称应为“青禾文具有限公司”；发票内容应与实际交易相符。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2026版；采购及服务类费用。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E｜第五条（现行）</w:t>
            </w:r>
          </w:p>
        </w:tc>
        <w:tc>
          <w:tcPr>
            <w:tcW w:type="dxa" w:w="2771"/>
          </w:tcPr>
          <w:p>
            <w:r>
              <w:t>确实无法取得发票的零星公共交通费用和政府收费，可提交相应票据，并附用途说明及经办人确认；本条不扩展至一般商品采购。</w:t>
            </w:r>
          </w:p>
        </w:tc>
        <w:tc>
          <w:tcPr>
            <w:tcW w:type="dxa" w:w="2771"/>
          </w:tcPr>
          <w:p>
            <w:r>
              <w:t>2026版；仅限条文所列费用。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F｜第七条（现行）</w:t>
            </w:r>
          </w:p>
        </w:tc>
        <w:tc>
          <w:tcPr>
            <w:tcW w:type="dxa" w:w="2771"/>
          </w:tcPr>
          <w:p>
            <w:r>
              <w:t>员工出差前应通过公司系统提交审批，写明出差人员、日期、地点和业务目的；临时变更行程的，应补充说明并由部门负责人确认。</w:t>
            </w:r>
          </w:p>
        </w:tc>
        <w:tc>
          <w:tcPr>
            <w:tcW w:type="dxa" w:w="2771"/>
          </w:tcPr>
          <w:p>
            <w:r>
              <w:t>2026版；全体出差员工。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G｜第八条（现行）</w:t>
            </w:r>
          </w:p>
        </w:tc>
        <w:tc>
          <w:tcPr>
            <w:tcW w:type="dxa" w:w="2771"/>
          </w:tcPr>
          <w:p>
            <w:r>
              <w:t>出差或活动结束后十五个工作日内，应提交完整报销材料。</w:t>
            </w:r>
          </w:p>
        </w:tc>
        <w:tc>
          <w:tcPr>
            <w:tcW w:type="dxa" w:w="2771"/>
          </w:tcPr>
          <w:p>
            <w:r>
              <w:t>2026版；全体员工；“工作日”不得改写为自然日。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H｜第九条（现行）</w:t>
            </w:r>
          </w:p>
        </w:tc>
        <w:tc>
          <w:tcPr>
            <w:tcW w:type="dxa" w:w="2771"/>
          </w:tcPr>
          <w:p>
            <w:r>
              <w:t>住宿费用按实际发生额报销，每人每晚不超过450元；超出标准的部分须说明原因并经部门负责人审批。</w:t>
            </w:r>
          </w:p>
        </w:tc>
        <w:tc>
          <w:tcPr>
            <w:tcW w:type="dxa" w:w="2771"/>
          </w:tcPr>
          <w:p>
            <w:r>
              <w:t>2026版；全体员工。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I｜第十条（现行）</w:t>
            </w:r>
          </w:p>
        </w:tc>
        <w:tc>
          <w:tcPr>
            <w:tcW w:type="dxa" w:w="2771"/>
          </w:tcPr>
          <w:p>
            <w:r>
              <w:t>销售部门员工因公出差且在外住宿的，可按每人每天120元领取差旅补助；该补助不替代住宿费凭证及报销要求。</w:t>
            </w:r>
          </w:p>
        </w:tc>
        <w:tc>
          <w:tcPr>
            <w:tcW w:type="dxa" w:w="2771"/>
          </w:tcPr>
          <w:p>
            <w:r>
              <w:t>2026版；仅适用于销售部门，且须符合条文所列条件。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J｜第十二条（现行）</w:t>
            </w:r>
          </w:p>
        </w:tc>
        <w:tc>
          <w:tcPr>
            <w:tcW w:type="dxa" w:w="2771"/>
          </w:tcPr>
          <w:p>
            <w:r>
              <w:t>同一张票据只能报销一次；报销人应提供票据号码，供财务台账查重。</w:t>
            </w:r>
          </w:p>
        </w:tc>
        <w:tc>
          <w:tcPr>
            <w:tcW w:type="dxa" w:w="2771"/>
          </w:tcPr>
          <w:p>
            <w:r>
              <w:t>2026版；全体员工。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K｜第十五条（现行）</w:t>
            </w:r>
          </w:p>
        </w:tc>
        <w:tc>
          <w:tcPr>
            <w:tcW w:type="dxa" w:w="2771"/>
          </w:tcPr>
          <w:p>
            <w:r>
              <w:t>票据遗失时，报销人应提交遗失说明及可取得的交易佐证，是否受理由财务负责人依据制度和材料审核，不得由经办人自行补造票据内容。</w:t>
            </w:r>
          </w:p>
        </w:tc>
        <w:tc>
          <w:tcPr>
            <w:tcW w:type="dxa" w:w="2771"/>
          </w:tcPr>
          <w:p>
            <w:r>
              <w:t>2026版；全体员工；不得把“提交说明”等同于必然获准报销。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L｜旧版对照：2025版第八、九条</w:t>
            </w:r>
          </w:p>
        </w:tc>
        <w:tc>
          <w:tcPr>
            <w:tcW w:type="dxa" w:w="2771"/>
          </w:tcPr>
          <w:p>
            <w:r>
              <w:t>第八条：出差或活动结束后十五个自然日内提交材料。第九条：住宿费用每人每晚不超过400元。</w:t>
            </w:r>
          </w:p>
        </w:tc>
        <w:tc>
          <w:tcPr>
            <w:tcW w:type="dxa" w:w="2771"/>
          </w:tcPr>
          <w:p>
            <w:r>
              <w:t>2025年4月1日起施行；已于2025年12月31日废止，不适用于2026年发生的业务。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M｜旧版对照：2024版第八、九条</w:t>
            </w:r>
          </w:p>
        </w:tc>
        <w:tc>
          <w:tcPr>
            <w:tcW w:type="dxa" w:w="2771"/>
          </w:tcPr>
          <w:p>
            <w:r>
              <w:t>第八条：出差结束后十个工作日内提交材料。第九条：住宿费用每人每晚不超过350元。</w:t>
            </w:r>
          </w:p>
        </w:tc>
        <w:tc>
          <w:tcPr>
            <w:tcW w:type="dxa" w:w="2771"/>
          </w:tcPr>
          <w:p>
            <w:r>
              <w:t>2024年1月1日起施行；已被2025版替代并废止。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N｜检索边界示例</w:t>
            </w:r>
          </w:p>
        </w:tc>
        <w:tc>
          <w:tcPr>
            <w:tcW w:type="dxa" w:w="2771"/>
          </w:tcPr>
          <w:p>
            <w:r>
              <w:t>本表未提供高铁座位等级的规定。对“销售人员出差能否乘坐高铁一等座”这一问题，只能回答“所给材料未找到依据”，并提示查阅完整有效制度或咨询财务部门。</w:t>
            </w:r>
          </w:p>
        </w:tc>
        <w:tc>
          <w:tcPr>
            <w:tcW w:type="dxa" w:w="2771"/>
          </w:tcPr>
          <w:p>
            <w:r>
              <w:t>仅用于练习“材料未覆盖/拒答”；不得把材料节选未提及等同于完整制度确定没有规定。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整理制度文件（20分）：按条款拆分制度，编制整理表，标注条款编号、版本、施行日期与适用对象，并说明废止版本的处理方法。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设置知识库（20分）：写出回答规则的提示词，并说明切分单位、检索数量与引用要求的设置理由。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设计测试题库（20分）：按五类情形设计不少于十题，写出每题的期望结果与检验重点。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检查并纠错（25分）：对知识库的测试结果进行检查，至少发现两处错误或不完整之处，写出错误类型、原因和修正方法，并完成复测记录。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反思（15分）：写一段不超过三百字的反思，说明哪些判断由大模型完成，哪些判断由人完成，以及你如何确保知识库的回答有据可查。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条目完整，编号、版本与日期齐全；废止版本处理合理；无改写原文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设置知识库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回答规则完整，包含“只依据条款”与“无依据则拒答”；设置理由充分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设计测试题库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覆盖五类情形；期望结果明确；检验重点具体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检查并纠错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错误发现准确；错误类型与原因分析到位；复测记录完整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任务11.1 拓展：条目拆分的粒度是一个需要权衡的问题</w:t>
      </w:r>
    </w:p>
    <w:p>
      <w:pPr>
        <w:pStyle w:val="Heading3"/>
      </w:pPr>
      <w:r>
        <w:t>任务11.2 拓展：词元与上下文长度</w:t>
      </w:r>
    </w:p>
    <w:p>
      <w:pPr>
        <w:pStyle w:val="Heading3"/>
      </w:pPr>
      <w:r>
        <w:t>任务11.2 拓展：知识库的检索评价</w:t>
      </w:r>
    </w:p>
    <w:p>
      <w:pPr>
        <w:pStyle w:val="Heading3"/>
      </w:pPr>
      <w:r>
        <w:t>任务11.3 拓展：错误的严重程度也应当分级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条目拆分的粒度是一个需要权衡的问题。拆得过细，条目之间的关系容易丢失，例如“报销期限”和“例外情形”分开后，问答时可能只取到前一条而漏掉限制条件。拆得过粗，每个条目又会变得很长，检索时可能包含大量无关内容。一个实用的做法是：以“条”为基本单位，同一条内有并列的多项要求时，按项拆分，但每一项都要保留所属条款的编号，例如“第八条第二项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词元与上下文长度。大模型处理文字时，并不是按字符而是按“词元”来计量的。一个词元可能是一个字，也可能是几个字的组合。每次提问时，检索到的片段和问题本身都要占用上下文长度，即大模型一次能够处理的文字总量。如果检索返回的片段太多，超过了上下文长度，靠后的内容就可能被截断或忽略。因此，检索数量与片段长度需要配合设置，并在测试中检验是否遗漏了关键条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的检索评价。检索评价关注的是“找没找对”，而回答评价关注的是“答得对不对”。二者要分开检验。例如，如果检索没有找到第十二条，即使大模型的回答看似正确，也说明检索存在漏洞，需要调整切分或关键词。把两类错误分开记录，有助于准确定位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错误的严重程度也应当分级。例如，把“十五个工作日”写成“十五天”，属于影响期限的严重错误；把标题的表述写得不够规范，则属于一般错误。对于严重错误，即使出现次数不多，也应当立即修正，并在下一轮测试中重点检验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