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pStyle w:val="Heading3"/>
      </w:pPr>
      <w:r>
        <w:t>12.1.1 规范的层次与依据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pPr>
        <w:pStyle w:val="Heading3"/>
      </w:pPr>
      <w:r>
        <w:t>12.1.2 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pPr>
        <w:pStyle w:val="Heading3"/>
      </w:pPr>
      <w:r>
        <w:t>12.1.3 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ind w:firstLine="420"/>
      </w:pPr>
      <w:r>
        <w:t>这些情形的共同点是，违规往往并非出于恶意，而是源于对规则的不了解。因此，先知道有哪些红线，比事后补救更重要。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pPr>
        <w:pStyle w:val="Heading3"/>
      </w:pPr>
      <w:r>
        <w:t>12.1.4 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pPr>
        <w:pStyle w:val="Heading3"/>
      </w:pPr>
      <w:r>
        <w:t>12.1.5 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>点题：规范是有层次的，遵守规范的第一步，是知道哪些规范与自己有关。主动查询、主动说明，既是对规则的尊重，也是对团队与公众的负责。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内容标识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图12-3　小何为展览海报添加内容标识（卡通示意）</w:t>
      </w:r>
    </w:p>
    <w:p>
      <w:pPr>
        <w:pStyle w:val="Heading3"/>
      </w:pPr>
      <w:r>
        <w:t>12.2.1 AI生成内容与标识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AI生成内容从生成到留存的标识流程（示意）</w:t>
      </w:r>
    </w:p>
    <w:p>
      <w:pPr>
        <w:pStyle w:val="Heading3"/>
      </w:pPr>
      <w:r>
        <w:t>12.2.2 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jc w:val="center"/>
      </w:pPr>
      <w:r>
        <w:rPr>
          <w:b/>
          <w:sz w:val="21"/>
        </w:rPr>
        <w:t>表12-4　深度伪造的三类危害与使用者的应对（示例）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危害方向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使用者应当怎样做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侵害个人权益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将他人的面容或声音用于制造虚假言论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不制作、不转发未经本人同意的形象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用于诈骗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冒充亲友的声音要求转账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涉及转账时，通过其他渠道核实对方身份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扩散虚假信息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使真实事件与虚构内容难以区分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转发前先核查来源，不把证据不足的内容当作事实</w:t>
            </w:r>
          </w:p>
        </w:tc>
      </w:tr>
    </w:tbl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pPr>
        <w:pStyle w:val="Heading3"/>
      </w:pPr>
      <w:r>
        <w:t>12.2.3 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-5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对来源不明的音视频与图片的基本核查流程（示意）</w:t>
      </w:r>
    </w:p>
    <w:p>
      <w:pPr>
        <w:ind w:firstLine="420"/>
      </w:pPr>
      <w:r>
        <w:t>表12-5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表12-5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pPr>
        <w:pStyle w:val="Heading3"/>
      </w:pPr>
      <w:r>
        <w:t>12.2.4 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pPr>
        <w:pStyle w:val="Heading3"/>
      </w:pPr>
      <w:r>
        <w:t>12.2.5 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>点题：转发也是一种发布。面对来源不明的内容，先核查、再转发，是每一位使用者都应当承担的基本责任，也是维护信息环境的一种方式。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【练习】请找一张来源不明的图片，按照表12-5的线索进行核查，并写出你的结论以及结论所依据的证据和局限。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pStyle w:val="Heading3"/>
      </w:pPr>
      <w:r>
        <w:t>12.3.1 偏见与公平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-6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真实性与授权核对的讨论，同样提醒我们，生成结果并不等于客观的记录，也可能偏离事实或侵犯他人的权益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pPr>
        <w:pStyle w:val="Heading3"/>
      </w:pPr>
      <w:r>
        <w:t>12.3.2 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pPr>
        <w:pStyle w:val="Heading3"/>
      </w:pPr>
      <w:r>
        <w:t>12.3.3 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第十条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pPr>
        <w:pStyle w:val="Heading3"/>
      </w:pPr>
      <w:r>
        <w:t>12.3.4 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pPr>
        <w:pStyle w:val="Heading3"/>
      </w:pPr>
      <w:r>
        <w:t>12.3.5 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>点题：AI的结论会继承数据中的不公正。承认偏见的存在，并通过检验与人工复核加以修正，是技术应用中不可缺少的伦理责任。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pStyle w:val="Heading3"/>
      </w:pPr>
      <w:r>
        <w:t>12.4.1 声明的基本要素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-6列出了一份完整的AI使用声明通常应当包括的要素。</w:t>
      </w:r>
    </w:p>
    <w:p>
      <w:pPr>
        <w:jc w:val="center"/>
      </w:pPr>
      <w:r>
        <w:rPr>
          <w:b/>
          <w:sz w:val="21"/>
        </w:rPr>
        <w:t>表12-6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pPr>
        <w:pStyle w:val="Heading3"/>
      </w:pPr>
      <w:r>
        <w:t>12.4.2 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pPr>
        <w:ind w:firstLine="420"/>
      </w:pPr>
      <w:r>
        <w:t>核实的方法是逐条在数据库或原文中找到该文献，并核对作者、年份、刊名与页码。找不到的文献应当删除，而不能为了让参考文献“看起来完整”而保留。</w:t>
      </w:r>
    </w:p>
    <w:p>
      <w:pPr>
        <w:pStyle w:val="Heading3"/>
      </w:pPr>
      <w:r>
        <w:t>12.4.3 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>较好的声明应当对照表12-6的要素逐项写出：工具名称与版本、使用的环节、AI输出如何被修改与核实，以及作者独立完成的部分。声明不需要很长，但应当使读者能够据此判断作品的形成过程。</w:t>
      </w:r>
    </w:p>
    <w:p>
      <w:pPr>
        <w:pStyle w:val="Heading3"/>
      </w:pPr>
      <w:r>
        <w:t>12.4.4 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pPr>
        <w:pStyle w:val="Heading3"/>
      </w:pPr>
      <w:r>
        <w:t>12.4.5 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【练习】请为你最近完成的一份作业或报告，写一份AI使用声明，按照表12-6的要素逐项填写，并检查声明与实际过程是否一致。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pStyle w:val="Heading3"/>
      </w:pPr>
      <w:r>
        <w:t>12.5.1 实训的任务与流程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实训可以按照图12-7所示的流程进行。与前面的实训一样，这一顺序不宜颠倒。若先写规范、后梳理场景，常见的结果是规范与实际使用脱节，无法真正指导行为。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个人AI使用规范实训的主要流程（示意）</w:t>
      </w:r>
    </w:p>
    <w:p>
      <w:pPr>
        <w:pStyle w:val="Heading3"/>
      </w:pPr>
      <w:r>
        <w:t>12.5.2 评分量规的理解</w:t>
      </w:r>
    </w:p>
    <w:p>
      <w:pPr>
        <w:ind w:firstLine="420"/>
      </w:pPr>
      <w:r>
        <w:t>实训的评价可以参考表12-7所示的量规。评价重点关注规范是否针对具体场景、要求是否可以执行、是否有证据表明规范得到了实际运用，以及说明是否如实。</w:t>
      </w:r>
    </w:p>
    <w:p>
      <w:pPr>
        <w:ind w:firstLine="420"/>
      </w:pPr>
      <w:r>
        <w:t>量规应当区分“规范是否写清楚”与“规范是否能被执行”两个维度。只写原则、没有可执行规则的规范，即使文字再完整，也不应得到较高的评价。</w:t>
      </w:r>
    </w:p>
    <w:p>
      <w:pPr>
        <w:jc w:val="center"/>
      </w:pPr>
      <w:r>
        <w:rPr>
          <w:b/>
          <w:sz w:val="21"/>
        </w:rPr>
        <w:t>表12-7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pStyle w:val="Heading3"/>
      </w:pPr>
      <w:r>
        <w:t>12.5.3 常见问题与核心原则</w:t>
      </w:r>
    </w:p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pPr>
        <w:pStyle w:val="Heading3"/>
      </w:pPr>
      <w:r>
        <w:t>12.5.4 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pPr>
        <w:pStyle w:val="Heading3"/>
      </w:pPr>
      <w:r>
        <w:t>12.5.5 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pPr>
        <w:pStyle w:val="Heading3"/>
      </w:pPr>
      <w:r>
        <w:t>12.5.6 实训的起步与修订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>点题：伦理原则只有转化为可以执行的规则，才能真正发挥作用。把原则落实到具体操作，是每一个使用者从“知道”走向“做到”的过程。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图12-8　本章结构</w:t>
      </w:r>
    </w:p>
    <w:p>
      <w:pPr>
        <w:ind w:firstLine="420"/>
      </w:pPr>
      <w:r>
        <w:t>图12-9概括了本章的主要知识点及其关系，可以作为复习时的索引。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图12-9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