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pStyle w:val="Heading3"/>
      </w:pPr>
      <w:r>
        <w:t>4.1.1 分段摘要的基本做法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pStyle w:val="Heading3"/>
      </w:pPr>
      <w:r>
        <w:t>4.1.2 摘要的用途与分段方式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pStyle w:val="Heading3"/>
      </w:pPr>
      <w:r>
        <w:t>4.1.3 检查清单与反向验证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pStyle w:val="Heading3"/>
      </w:pPr>
      <w:r>
        <w:t>4.2.1 转写的基本过程与录音规范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pStyle w:val="Heading3"/>
      </w:pPr>
      <w:r>
        <w:t>4.2.2 校对顺序与常见错误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ind w:firstLine="420"/>
      </w:pPr>
      <w:r>
        <w:rPr>
          <w:b w:val="0"/>
        </w:rPr>
        <w:t>校对的顺序也值得注意。应先核对人名、机构名称和数字，因为它们一旦出错，影响最大；再核对语义与断句，判断是否有整句被误听；最后才处理标点与格式。若先修改标点而忽略人名，往往会留下已经被识别错误的名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pStyle w:val="Heading3"/>
      </w:pPr>
      <w:r>
        <w:t>4.2.3 转写稿的使用边界与纪要结构</w:t>
      </w:r>
    </w:p>
    <w:p>
      <w:pPr>
        <w:ind w:firstLine="420"/>
      </w:pPr>
      <w:r>
        <w:rPr>
          <w:b w:val="0"/>
        </w:rPr>
        <w:t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pStyle w:val="Heading3"/>
      </w:pPr>
      <w:r>
        <w:t>4.3.1 为什么需要检索增强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pStyle w:val="Heading3"/>
      </w:pPr>
      <w:r>
        <w:t>4.3.2 切分、表格与知识库建设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pStyle w:val="Heading3"/>
      </w:pPr>
      <w:r>
        <w:t>4.3.3 使用RAG的原则与局限</w:t>
      </w:r>
    </w:p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多份资料归并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三份资料的分歧需要逐一核对（卡通示意）</w:t>
      </w:r>
    </w:p>
    <w:p>
      <w:pPr>
        <w:pStyle w:val="Heading3"/>
      </w:pPr>
      <w:r>
        <w:t>4.4.1 分歧与归并的基本步骤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-6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多份资料对同一事项的归并方式</w:t>
      </w:r>
    </w:p>
    <w:p>
      <w:pPr>
        <w:pStyle w:val="Heading3"/>
      </w:pPr>
      <w:r>
        <w:t>4.4.2 对比矩阵与模型归并的风险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pStyle w:val="Heading3"/>
      </w:pPr>
      <w:r>
        <w:t>4.4.3 分歧的三类冲突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jc w:val="center"/>
      </w:pPr>
      <w:r>
        <w:rPr>
          <w:b/>
          <w:sz w:val="21"/>
        </w:rPr>
        <w:t>表4-5　分歧的三类冲突及处理方式（示例）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冲突类型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典型例子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事实冲突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两份资料对同一件事的说法不同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经费数字不一致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核实原始依据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时间冲突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两份资料都正确，但发布时间不同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较新的版本修改了较旧的内容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采用最新的正式版本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口径冲突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两份资料统计的范围不同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一份统计全部开支，另一份只统计现金支出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在结论中说明统计范围，不直接比较数字大小</w:t>
            </w:r>
          </w:p>
        </w:tc>
      </w:tr>
    </w:tbl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pStyle w:val="Heading3"/>
      </w:pPr>
      <w:r>
        <w:t>4.4.4 归并结果与覆盖检查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图4-7以矩阵的形式列出了四份资料对关键信息的覆盖情况。逐项对照这样的矩阵，可以快速发现哪些信息只来自单一资料，哪些信息在资料之间存在缺失。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四份资料对关键信息的覆盖情况（示例数据）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【练习】选择一件你经历过的事情，例如一次活动的时间、费用或分工，找出至少三个来源（如通知、聊天记录、个人记忆），按照图4-6的五个步骤进行归并，并完成一张类似表4-4的对比矩阵。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pStyle w:val="Heading3"/>
      </w:pPr>
      <w:r>
        <w:t>4.5.1 实训的任务与选题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选题时，宜选择你能够接触到原始录音或资料的会议或活动，例如社团例会、班级讨论或项目组会议，并控制资料的规模。资料过少，无法体现归并与对照；资料过多，则难以在两周之内完成核验。</w:t>
      </w:r>
    </w:p>
    <w:p>
      <w:pPr>
        <w:ind w:firstLine="420"/>
      </w:pPr>
      <w:r>
        <w:rPr>
          <w:b w:val="0"/>
        </w:rPr>
        <w:t>实训的基本流程如图4-8所示。第一步，填写任务单（表4-6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社团会议资料整理实训的基本流程（示意）</w:t>
      </w:r>
    </w:p>
    <w:p>
      <w:pPr>
        <w:jc w:val="center"/>
      </w:pPr>
      <w:r>
        <w:rPr>
          <w:b/>
          <w:sz w:val="21"/>
        </w:rPr>
        <w:t>表4-6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pStyle w:val="Heading3"/>
      </w:pPr>
      <w:r>
        <w:t>4.5.2 卡片结构、核验记录与评分</w:t>
      </w:r>
    </w:p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-7是核验记录的示例，它要求每一条内容都写明来源和核验结果。</w:t>
      </w:r>
    </w:p>
    <w:p>
      <w:pPr>
        <w:ind w:firstLine="420"/>
      </w:pPr>
      <w:r>
        <w:rPr>
          <w:b w:val="0"/>
        </w:rPr>
        <w:t>卡片上的每一条内容，都应能追溯到具体的原始位置，例如文件名、页码、会议时间或发言人。无法追溯的内容，不应进入卡片，而应放入“待确认”一栏，等待核实。</w:t>
      </w:r>
    </w:p>
    <w:p>
      <w:pPr>
        <w:jc w:val="center"/>
      </w:pPr>
      <w:r>
        <w:rPr>
          <w:b/>
          <w:sz w:val="21"/>
        </w:rPr>
        <w:t>表4-7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评分依据见表4-8。实训的重点不在于卡片是否美观，而在于每一条内容都能说清楚来源，每一处分歧都得到了如实的保留。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pStyle w:val="Heading3"/>
      </w:pPr>
      <w:r>
        <w:t>4.5.3 常见问题与提交前检查</w:t>
      </w:r>
    </w:p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-6的方法归并，并完成表4-4；第五步，撰写知识卡片，并用表4-7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第4章知识结构</w:t>
      </w:r>
    </w:p>
    <w:p>
      <w:pPr>
        <w:ind w:firstLine="420"/>
      </w:pPr>
      <w:r>
        <w:rPr>
          <w:b w:val="0"/>
        </w:rPr>
        <w:t>图4-10概括了本章的主要知识点及其关系，可以作为复习时的索引。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图4-10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