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exact" w:line="400" w:before="0" w:after="240"/>
        <w:jc w:val="center"/>
      </w:pPr>
      <w:r>
        <w:rPr>
          <w:rFonts w:ascii="Times New Roman" w:hAnsi="Times New Roman" w:cs="Times New Roman" w:eastAsia="黑体"/>
          <w:b/>
          <w:sz w:val="32"/>
        </w:rPr>
        <w:t>写作规则（全书统一）</w:t>
      </w:r>
    </w:p>
    <w:p>
      <w:pPr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sz w:val="28"/>
        </w:rPr>
        <w:t>一、全书定位与读者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教材面向高职学生，会计与非会计专业（含全校选修）。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项目化：模块 → 项目 → 任务。每项目3个任务；项目1为导论，不计模块。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字数：项目2、3约1.2–1.5万字；项目4为1.5–2万字。写作要有实际价值，不为凑字数写空话；每段要服务于本任务的核心概念或操作。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主线：校园一学期社团财务（校园线，星空读书会）为主，职业线（虚构小微企业青禾文具）延伸，两线成对出现。</w:t>
      </w:r>
    </w:p>
    <w:p>
      <w:pPr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sz w:val="28"/>
        </w:rPr>
        <w:t>二、项目与任务结构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项目标题：以“从一件生活事说起：财务词”形式，含生活词与财务词，不写“AI”。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任务标题：写AI用途，如“用AI完成分类”。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每任务一个核心概念，一处思政园地。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任务内顺序：导入（校园线 / 职业线成对）→ 一、二、三…专业知识（【通识】【拓展】标注）→ AI操作 → 回到案例 → 常见误区 → 思政园地 → 【练习】→ 小结。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【拓展】放在项目末尾，并标注选学；会计深入内容只放拓展。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项目末尾：项目总结（不写“项目小结”），含表格核心概念与做法，以及本项目知识图谱。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学习目标：用思维导图展示（图x-1）。</w:t>
      </w:r>
    </w:p>
    <w:p>
      <w:pPr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sz w:val="28"/>
        </w:rPr>
        <w:t>三、法规规则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其他项目正文不引用法规。法规集中到独立任务（任务13.3）与附录索引表。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法规只写真实、可核实的条文。无法核实即删。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索引表四列：名称、发文机关与文号、发布与修订情况、条文编号。不写核实日期或内部说明。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可设计学生用AI核实条文的练习，以官方原文为准。</w:t>
      </w:r>
    </w:p>
    <w:p>
      <w:pPr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sz w:val="28"/>
        </w:rPr>
        <w:t>四、版式（全书统一，不得按项目变化）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纸张：A4；页边距左右3.17cm，上下2.54cm；页脚居中页码（宋体9pt）。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正文：宋体小四（12pt），固定行距20磅，首行缩进2字符，段前段后0。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一级标题（项目标题）：黑体三号（16pt）居中。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二级标题（任务标题、模块标题）：黑体四号（14pt）。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三级标题（小节）：黑体小四加粗。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表题：黑体五号（10.5pt）居中，位于表上方，格式“表x-y 标题”。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表格：宋体五号（10.5pt），单倍行距，表头加粗居中，网格边框。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西文：Times New Roman。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图片：锚定式，环绕方式为上下型（wrapTopAndBottom），段落居中。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图注：紧跟图片下方，宋体五号，居中，格式“图x-y 说明”。</w:t>
      </w:r>
    </w:p>
    <w:p>
      <w:pPr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sz w:val="28"/>
        </w:rPr>
        <w:t>五、图的规则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编号：图x-y，按出现顺序连续编号。项目末的知识图谱编号排在最后。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类型：按内容选择。本书常用：思维导图（学习目标）、知识图谱（项目总结）、饼图、柱状图、折线图、流程图、时间线图、表格不作图。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样式（全部图统一，不得每项目一套）：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配色：深藏青 #1F3A5F（中心节点与任务节点，白字），浅蓝云朵底 #EAF1F8（任务所在区域），节点底 #E8F0F8（深藏青边框，深字）；连线浅灰 #9AA8B8（实线为主干，虚线为交叉关系并标注关系词）。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字体：Noto Sans SC（思源黑体）常规字重；字号统一。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白底，无标题文字（标题由正文图注承担）。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知识图谱：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云朵状发散网状结构，中心节点为本项目名称；每个任务为一朵浅蓝云，内含任务节点与知识点节点。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不得画成矩阵、分列网格或树形；连线需闭合并标注关系。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名称统一为“知识图谱”；图注格式“图x-y 本项目知识图谱”。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学习目标思维导图（必须是树形卡片样式，不是知识图谱）：顶部为深藏青标题框（“项目名（项目N）”，白字）；下面三列卡片，依次为知识目标、能力目标、素养目标；每列卡片顶部为浅蓝标题栏（#E8F0F8，深藏青字），下面用“•”列出三条要点。连线为深藏青直角折线。参照 图2-1、图4-1；绘图函数为 kgstyle.mindmap_cards()。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知识图谱（项目总结）：云朵式网状结构，与思维导图样式严格区分，不得混用。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其他图（饼图、柱状图、折线图、流程图）：也用上述配色；流程图框线与箭头统一，不得出现文字溢出或回环箭头遮挡。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人物场景图：每个项目至少一张，放在第一个任务“导入”之后，用于交代生活场景。图中出现的命名人物，外貌须与第八节设定一致；主角为小何。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流程图（参照图4-7）：白底，蓝色圆角框（#2E6DB4），判断框为琥珀色菱形（#B07A1E，填充#FFF7E6），箭头深灰（#4A5568），“是/否”标注在分支线上。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数据图（饼图、柱状图、折线图）：深藏青（#1F3A5F）为主色，浅蓝（#9CB8D6、#6F8FB5）为辅色，去掉上方和右侧边框，网格线浅灰。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生成图的代码统一保存在 /home/user/tools/kgstyle.py（绘图样式库），图表脚本见 /home/user/tools/src/fig3_v2.py。</w:t>
      </w:r>
    </w:p>
    <w:p>
      <w:pPr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sz w:val="28"/>
        </w:rPr>
        <w:t>六、生成与文件管理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所有内容存入“AI大模型在财务场景的应用/”文件夹；仓库只上传Word（.docx）与图片（.png），不上传md等源稿。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文档名带版本序号：如“项目3_范例_v2.docx”。同版本可覆盖；新版本另起序号，旧版删除（git rm）。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生成工具统一为 /home/user/tools/book_docx.py：源稿（md格式，仅作标记用）→ docx。所有项目必须用该工具生成，不得各写一套。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源稿放在 /tmp/pN/ 或 /home/user/tools/src/（工作区，不入库）。注意 /tmp 可能被重置，重要源稿应备份到 /home/user/tools/src/。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Word只写适合交给编辑的内容，不写版本号、状态、内部说明、“样章”等字样。</w:t>
      </w:r>
    </w:p>
    <w:p>
      <w:pPr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sz w:val="28"/>
        </w:rPr>
        <w:t>七、写作禁忌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项目标题不写“AI”（导论除外）。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模块标题不带场景词。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不写内部说明、待确认字样、版本记录。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不编造数据、字数、出版时间、市场调研数据。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工具截图与操作步骤需标注版本与查询日期。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政策引用须依法核实，出版前复核。</w:t>
      </w:r>
    </w:p>
    <w:p>
      <w:pPr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sz w:val="28"/>
        </w:rPr>
        <w:t xml:space="preserve">八、人物设定（全书统一，文字与图片必须一致）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• 原则：每个有名有姓的人物，全书只有一种身份、一套外貌描述。图中出现的命名人物，外貌必须与本节描述相符。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• 未命名的路人（如“社员”“同学”）不得复用主角外貌，应另行描述，且不得与本节人物相同。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• 生成人物图时，提示词直接引用本节的外貌描述，不另起描述。图注须写明人物名字，与正文一致。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• 星空读书会：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  – 小何｜星空读书会财务干事，全书配图主角。外貌：年轻女大学生，肩长黑发、黄色发夹、圆框眼镜、浅蓝连帽衫、蓝色牛仔裤、白色运动鞋。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  – 李想想｜星空读书会社长（男），负责审批与决策。外貌：短平头，深灰色夹克，白色T恤，深色休闲裤。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  – 小韩｜星空读书会社员，学院图书馆勤工俭学学生（女），与财务工作无直接职责。外貌：齐肩栗色卷发，不戴眼镜，米色针织开衫，深蓝色长裤，红色帆布包，棕色帆布鞋。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• 青禾文具：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  – 陈静｜财务主管（女），负责审核与把关，是孙悦、小周的直接上级。外貌：齐耳深棕短发，方框眼镜，深灰色西装外套，白色衬衫。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  – 孙悦｜实习生（女），负责整理票据与初步核对，向陈静汇报。外貌：及肩马尾，米色毛衣，灰色长裤，手持笔记本。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  – 小周｜财务助理（女），负责记账与报销，向陈静汇报。外貌：齐耳黑色短发，浅绿色衬衫，黑色长裤，手持计算器。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  – 王涛｜销售部员工（男），项目7职业线工资条的当事人。外貌：平头，格子衬衫，深色长裤。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  – 周明｜青禾文具总经理（男），负责审批与决策，全书未配图，无外貌设定。  – 赵敏｜行政部员工，负责资产库房与台账的实物管理。外貌：中长直发，灰色针织衫，黑色长裙。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• 未命名人物（社员、同学、员工等）使用下列固定外貌模板，每个模板在全书只对应一张图，且不得与第八节的命名人物相似（不戴眼镜，不用小何的长黑发与连帽衫，不用小韩的卷发与开衫，不用孙悦的马尾，不用陈静的深棕短发）：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  – 模板A｜男，黑色中短发（自然蓬松），米色短袖衬衫，卡其色长裤，白色运动鞋。（图1-2）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  – 模板B｜女，齐肩直发，棕色，橙色针织背心，白色衬衫，浅色长裙。（图2-2）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  – 模板C｜男，侧分短发，深棕色，白色衬衫，深灰色针织马甲，深蓝色长裤。（图3-2）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  – 模板D｜女，丸子头，粉色卫衣，灰色九分裤。（图3-5）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  – 模板E｜男，平头，红色羽绒马甲，黑色长裤。（图4-3）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  – 模板F｜女，齐刘海短发，紫色毛衣，牛仔短裙。（图4-4）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  – 模板G｜男，短卷发，深绿色polo衫，卡其色长裤。（图5-2）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  – 模板H｜女，短发配浅色发带，黄色衬衫，黑色西裤。（图6-2）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• 人物图风格（全书统一，不分校园线与职业线）：线描扁平，柔和淡色，白底，无文字；同一画面只出现一个主要人物；与小何配图（图8-2 等）为同一风格。</w:t>
      </w:r>
    </w:p>
    <w:p>
      <w:pPr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sz w:val="28"/>
        </w:rPr>
        <w:t xml:space="preserve">九、机构与背景（全书统一）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• 星空读书会：某高校学生社团（阅读类），挂靠学院。社长李想想，财务干事小何。主要活动：读书分享会、校园文化节义卖、海报宣传。经费来源：学院拨款与社员活动收入。财务口径：收入按实际到账，支出按实际付款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• 青禾文具：虚构小微企业，经营文具与礼品。财务主管陈静，实习生孙悦，财务助理小周，销售部王涛，行政部赵敏。财务口径与星空一致；利润＝收入－销货成本－费用。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• 校园线与职业线成对出现：同一知识点，校园线使用星空的数据，职业线使用青禾的数据；两线数据互不混用。</w:t>
      </w:r>
    </w:p>
    <w:p>
      <w:pPr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sz w:val="28"/>
        </w:rPr>
        <w:t xml:space="preserve">十、核心数据（全书统一，修改任何数字须同步全部出处）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b/>
                <w:sz w:val="21"/>
              </w:rPr>
              <w:t>项目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b/>
                <w:sz w:val="21"/>
              </w:rPr>
              <w:t>指标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b/>
                <w:sz w:val="21"/>
              </w:rPr>
              <w:t>数值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项目2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星空学期学院拨款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1200元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项目2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青禾2026年9月超支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1390元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项目3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摄影设备现金价；分期方案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6000元；12期，每期550元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项目4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综合练习票据价税合计；税率；不含税；税额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255.85元；13%；226.42元；29.43元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项目4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综合练习票据合计（汇总）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1748.35元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项目5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星空收入、销货成本、费用、利润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470元、193元、70元、207元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项目5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青禾收入、销货成本、费用、利润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6050元、2940元、200元、2910元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项目5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星空保本销售量：书签、柠檬水、笔记本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140个、88杯、172本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项目6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星空笔记本：原值、残值、年限、年折旧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4800元、240元、4年、1140元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项目6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青禾电脑6台：原值、残值、年限、年折旧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30000元、1200元、3年、9600元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项目7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星空勤工收入：时薪×时数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12元×80小时＝960元（免税）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项目7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青禾王涛10月：应发、社保公积金、专项附加扣除、应纳税所得额、税率、税额、实发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8400元、1050元、1000元、1350元、3%、40.5元、7309.5元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项目8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星空9月清洗后收入、支出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2040元、599.5元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项目8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青禾10月清洗后收入、支出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11750元、7200元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项目9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星空学期收入：预算、实际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2100元、2040元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项目9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星空学期支出：预算、实际；结余；结余率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1840元、1788元；252元；12.4%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项目9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青禾10月结余；结余率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4550元；38.7%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项目10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星空支出；青禾10月支出、收入、结余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1788元；7200元、11750元、4550元</w:t>
            </w:r>
          </w:p>
        </w:tc>
      </w:tr>
    </w:tbl>
    <w:p>
      <w:pPr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sz w:val="28"/>
        </w:rPr>
        <w:t xml:space="preserve">十一、现状（2026-10-29）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教材文件：项目1 v6、项目2 v7、项目3 v6、项目4 v8、项目5 v5、项目6 v4、项目7 v3、项目8 v5、项目9 v3、项目10 v4、项目11 v1、项目12 v1、项目13 v1。写作规则 v2。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• 项目13 已采用思政园地AI情境框、任务小结、项目综合练习与法规索引表。</w:t>
      </w:r>
    </w:p>
    <w:p>
      <w:pPr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sz w:val="28"/>
        </w:rPr>
        <w:t xml:space="preserve">十二、待办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• 图7-2 已改为小韩形象；图9-2、10-2、11-2、12-2、13-2、8-2 已核对为小何。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第十节数值已与各项目逐项核对一致（项目8 的9月收入2040元即为学期收入，均于9月到账；会费缺口统一为3名社员、每人20元）。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• 版式渲染需在Word中抽查（本环境无法渲染）；项目8 扩写按用户要求取消。项目1–13 综合练习已改为提供示例数据。</w:t>
      </w:r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宋体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