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头脑风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图9-2　小组进行头脑风暴（卡通示意）</w:t>
      </w:r>
    </w:p>
    <w:p>
      <w:pPr>
        <w:pStyle w:val="Heading3"/>
      </w:pPr>
      <w:r>
        <w:t>9.1.1 头脑风暴的基本规则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-3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头脑风暴的三个阶段与记录要求</w:t>
      </w:r>
    </w:p>
    <w:p>
      <w:pPr>
        <w:pStyle w:val="Heading3"/>
      </w:pPr>
      <w:r>
        <w:t>9.1.2 评估标准与方案对比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pPr>
        <w:pStyle w:val="Heading3"/>
      </w:pPr>
      <w:r>
        <w:t>9.1.3 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pPr>
        <w:pStyle w:val="Heading3"/>
      </w:pPr>
      <w:r>
        <w:t>9.1.4 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pPr>
        <w:ind w:firstLine="420"/>
      </w:pPr>
      <w:r>
        <w:t>【常见误区】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pStyle w:val="Heading3"/>
      </w:pPr>
      <w:r>
        <w:t>9.2.1 著作权与使用途径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jc w:val="center"/>
      </w:pPr>
      <w:r>
        <w:rPr>
          <w:b/>
          <w:sz w:val="21"/>
        </w:rPr>
        <w:t>表9-2　使用他人作品的三种合法途径（示例）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途径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取得明确授权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通过书面或电子形式的许可协议获得使用权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确认授权的范围与期限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使用公开许可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遵守作者声明的知识共享或开源协议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严格执行协议中的署名、非商业等条件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合理使用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在法律规定的范围内少量引用，如用于教学或评论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范围通常较窄，需综合判断，不能简单理解为“非商业即可用”</w:t>
            </w:r>
          </w:p>
        </w:tc>
      </w:tr>
    </w:tbl>
    <w:p>
      <w:pPr>
        <w:pStyle w:val="Heading3"/>
      </w:pPr>
      <w:r>
        <w:t>9.2.2 开源协议与知识共享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-4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知识共享协议是一套常用的标准化公开许可，它通过几个条件组合，说明作品可以如何被使用。表9-3列出了几种常见的组合及其主要要求。使用时，应当严格按照协议的条件执行，例如CC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表9-3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pStyle w:val="Heading3"/>
      </w:pPr>
      <w:r>
        <w:t>9.2.3 标注的目的与许可范围</w:t>
      </w:r>
    </w:p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pPr>
        <w:pStyle w:val="Heading3"/>
      </w:pPr>
      <w:r>
        <w:t>9.2.4 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pPr>
        <w:ind w:firstLine="420"/>
      </w:pPr>
      <w:r>
        <w:t>【常见误区】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pStyle w:val="Heading3"/>
      </w:pPr>
      <w:r>
        <w:t>9.3.1 HTML的结构与标签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-5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HTML文档通常由两个部分组成：head与body。head中存放页面的元信息，例如标题、字符编码与样式；body中存放用户在页面上实际看到的内容。表9-4列出了制作个人作品网页时最常用的标签。</w:t>
      </w:r>
    </w:p>
    <w:p>
      <w:pPr>
        <w:jc w:val="center"/>
      </w:pPr>
      <w:r>
        <w:rPr>
          <w:b/>
          <w:sz w:val="21"/>
        </w:rPr>
        <w:t>表9-4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pStyle w:val="Heading3"/>
      </w:pPr>
      <w:r>
        <w:t>9.3.2 作品网页示例</w:t>
      </w:r>
    </w:p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pStyle w:val="Heading3"/>
      </w:pPr>
      <w:r>
        <w:t>9.3.3 CSS的规则与盒模型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#CCCCCC”则表示设置一条宽度为1像素、实线、颜色为浅灰色的边框。表9-5列出了几个常用的属性。</w:t>
      </w:r>
    </w:p>
    <w:p>
      <w:pPr>
        <w:jc w:val="center"/>
      </w:pPr>
      <w:r>
        <w:rPr>
          <w:b/>
          <w:sz w:val="21"/>
        </w:rPr>
        <w:t>表9-5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pPr>
        <w:pStyle w:val="Heading3"/>
      </w:pPr>
      <w:r>
        <w:t>9.3.4 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pPr>
        <w:pStyle w:val="Heading3"/>
      </w:pPr>
      <w:r>
        <w:t>9.3.5 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pPr>
        <w:pStyle w:val="Heading3"/>
      </w:pPr>
      <w:r>
        <w:t>9.3.6 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pPr>
        <w:ind w:firstLine="420"/>
      </w:pPr>
      <w:r>
        <w:t>【常见误区】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pStyle w:val="Heading3"/>
      </w:pPr>
      <w:r>
        <w:t>9.4.1 作者与测试者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jc w:val="center"/>
      </w:pPr>
      <w:r>
        <w:rPr>
          <w:b/>
          <w:sz w:val="21"/>
        </w:rPr>
        <w:t>表9-6　受众测试的三种方法（示例）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任务测试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给测试者一个具体任务，如找到某项规则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完成过程与遇到的困难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只能看到结果，难以了解想法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出声思维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测试者边操作边说出想法和疑问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判断依据与误解之处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说话本身可能改变操作习惯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访谈或问卷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测试后补充感受与意见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观察中难以看到的感受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依赖记忆，可能偏向积极评价</w:t>
            </w:r>
          </w:p>
        </w:tc>
      </w:tr>
    </w:tbl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-7给出了一种记录格式。</w:t>
      </w:r>
    </w:p>
    <w:p>
      <w:pPr>
        <w:pStyle w:val="Heading3"/>
      </w:pPr>
      <w:r>
        <w:t>9.4.2 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表9-7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pStyle w:val="Heading3"/>
      </w:pPr>
      <w:r>
        <w:t>9.4.3 严重程度的划分与修改优先级</w:t>
      </w:r>
    </w:p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-6展示了这一循环过程。</w:t>
      </w:r>
    </w:p>
    <w:p>
      <w:pPr>
        <w:ind w:firstLine="420"/>
      </w:pPr>
      <w:r>
        <w:t>划分时，可以把问题分为三类：阻碍任务完成的问题优先处理；影响理解或体验、但不妨碍完成任务的问题次之；仅涉及措辞或细节的问题，可以在后续版本中统一处理。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受众测试与迭代修改的循环（示意）</w:t>
      </w:r>
    </w:p>
    <w:p>
      <w:pPr>
        <w:pStyle w:val="Heading3"/>
      </w:pPr>
      <w:r>
        <w:t>9.4.4 测试者的权益与观察记录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图9-7是三轮测试中问题分布的示例热力图。按严重程度与测试者分别统计，可以看出哪些问题集中出现，从而决定修改的优先级。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三轮测试中问题的分布（示例数据）</w:t>
      </w:r>
    </w:p>
    <w:p>
      <w:pPr>
        <w:pStyle w:val="Heading3"/>
      </w:pPr>
      <w:r>
        <w:t>9.4.5 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汇总时，应保留每一位测试者的原始记录，只在汇总表中合并同类问题，以便在出现争议时追溯原始证据。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pPr>
        <w:ind w:firstLine="420"/>
      </w:pPr>
      <w:r>
        <w:t>【常见误区】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【练习】请邀请两位不同背景的同学完成一个具体任务，观察并记录他们的过程，按照表9-7的格式整理问题，并把问题按严重程度排序，写出修改的先后顺序。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pStyle w:val="Heading3"/>
      </w:pPr>
      <w:r>
        <w:t>9.5.1 实训的任务与步骤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实训可以按照“先定目标，再做素材，再做网页，最后测试”的顺序进行。若顺序颠倒，常见的结果是在网页完成之后才发现素材不能使用，只能推倒重来。图9-8概括了实训的主要流程。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创意作品网页实训的主要流程（示意）</w:t>
      </w:r>
    </w:p>
    <w:p>
      <w:pPr>
        <w:pStyle w:val="Heading3"/>
      </w:pPr>
      <w:r>
        <w:t>9.5.2 评分量规的理解</w:t>
      </w:r>
    </w:p>
    <w:p>
      <w:pPr>
        <w:ind w:firstLine="420"/>
      </w:pPr>
      <w:r>
        <w:t>实训的评价可以参考表9-8所示的量规。评价不仅关注网页的外观，更关注作品的结构是否清楚、素材是否合法、说明是否如实，以及修改是否有依据。</w:t>
      </w:r>
    </w:p>
    <w:p>
      <w:pPr>
        <w:ind w:firstLine="420"/>
      </w:pPr>
      <w:r>
        <w:t>量规的每个维度都应对应可以检查的证据，例如是否完成了两轮测试、每个素材是否有来源说明。这样，评分时就不必依赖印象。</w:t>
      </w:r>
    </w:p>
    <w:p>
      <w:pPr>
        <w:jc w:val="center"/>
      </w:pPr>
      <w:r>
        <w:rPr>
          <w:b/>
          <w:sz w:val="21"/>
        </w:rPr>
        <w:t>表9-8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pPr>
        <w:pStyle w:val="Heading3"/>
      </w:pPr>
      <w:r>
        <w:t>9.5.3 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说明的篇幅不必很长，但每一条陈述都应当能够在作品中找到对应之处。若说明与作品不一致，读者会优先相信作品本身。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pStyle w:val="Heading3"/>
      </w:pPr>
      <w:r>
        <w:t>9.5.4 常见问题与核心原则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-3的格式）、一份可以在浏览器中打开的网页文件及其素材文件夹、一份受众测试记录（表9-7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本章结构</w:t>
      </w:r>
    </w:p>
    <w:p>
      <w:pPr>
        <w:ind w:firstLine="420"/>
      </w:pPr>
      <w:r>
        <w:t>图9-10概括了本章的主要知识点及其关系，可以作为复习时的索引。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图9-10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