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pStyle w:val="Heading3"/>
      </w:pPr>
      <w:r>
        <w:t>11.1.1 计算思维与任务分解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pPr>
        <w:pStyle w:val="Heading3"/>
      </w:pPr>
      <w:r>
        <w:t>11.1.2 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pPr>
        <w:pStyle w:val="Heading3"/>
      </w:pPr>
      <w:r>
        <w:t>11.1.3 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pPr>
        <w:ind w:firstLine="420"/>
      </w:pPr>
      <w:r>
        <w:t>判断时，可以先问两个问题：这一步的规则是否稳定，它的结果是否需要有人承担判断的责任。规则稳定、结果可以复核的步骤，适合先行自动化；反之，应当保留人工把关。</w:t>
      </w:r>
    </w:p>
    <w:p>
      <w:pPr>
        <w:pStyle w:val="Heading3"/>
      </w:pPr>
      <w:r>
        <w:t>11.1.4 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pPr>
        <w:ind w:firstLine="420"/>
      </w:pPr>
      <w:r>
        <w:t>在周报案例中，“每个成员的活动记录”只需保留姓名、日期、时长与类别四项，备注、照片等与汇总无关的内容可以忽略。抽象得当，流程才会简洁，也更容易检查。</w:t>
      </w:r>
    </w:p>
    <w:p>
      <w:pPr>
        <w:pStyle w:val="Heading3"/>
      </w:pPr>
      <w:r>
        <w:t>11.1.5 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pPr>
        <w:ind w:firstLine="420"/>
      </w:pPr>
      <w:r>
        <w:t>这三类问题的共同后果，是流程在搭建时才发现无法继续。因此，拆分阶段多花一些时间，往往能省去大量返工。</w:t>
      </w:r>
    </w:p>
    <w:p>
      <w:pPr>
        <w:pStyle w:val="Heading3"/>
      </w:pPr>
      <w:r>
        <w:t>11.1.6 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自动化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图11-4　小何搭建周报自动化流程（卡通示意）</w:t>
      </w:r>
    </w:p>
    <w:p>
      <w:pPr>
        <w:pStyle w:val="Heading3"/>
      </w:pPr>
      <w:r>
        <w:t>11.2.1 低代码工作流的节点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-5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pPr>
        <w:pStyle w:val="Heading3"/>
      </w:pPr>
      <w:r>
        <w:t>11.2.2 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表格数据转换为JSON并进入接口的过程（示意）</w:t>
      </w:r>
    </w:p>
    <w:p>
      <w:pPr>
        <w:ind w:firstLine="420"/>
      </w:pPr>
      <w:r>
        <w:t>图11-6展示了从表格导出到写入结果的完整过程。可以看到，每一次数据交换都经历了格式转换与检查两个环节，任何一环出现问题，都应当在日志中留下记录。</w:t>
      </w:r>
    </w:p>
    <w:p>
      <w:pPr>
        <w:pStyle w:val="Heading3"/>
      </w:pPr>
      <w:r>
        <w:t>11.2.3 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pPr>
        <w:ind w:firstLine="420"/>
      </w:pPr>
      <w:r>
        <w:t>版本号的作用，是让每一份数据都能说明自己遵循的是哪一版结构。若字段在第二周新增了“备注”一列，应当把版本号从1升到2，并在说明中写明旧版缺少该字段时如何处理，避免新旧数据混在一起被同一段流程读取。</w:t>
      </w:r>
    </w:p>
    <w:p>
      <w:pPr>
        <w:pStyle w:val="Heading3"/>
      </w:pPr>
      <w:r>
        <w:t>11.2.4 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pPr>
        <w:pStyle w:val="Heading3"/>
      </w:pPr>
      <w:r>
        <w:t>11.2.5 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pPr>
        <w:pStyle w:val="Heading3"/>
      </w:pPr>
      <w:r>
        <w:t>11.2.6 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pPr>
        <w:pStyle w:val="Heading3"/>
      </w:pPr>
      <w:r>
        <w:t>11.2.7 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pPr>
        <w:jc w:val="center"/>
      </w:pPr>
      <w:r>
        <w:rPr>
          <w:b/>
          <w:sz w:val="21"/>
        </w:rPr>
        <w:t>表11-4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pPr>
        <w:pStyle w:val="Heading3"/>
      </w:pPr>
      <w:r>
        <w:t>11.2.8 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pStyle w:val="Heading3"/>
      </w:pPr>
      <w:r>
        <w:t>11.3.1 监控的目的与告警判断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-7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运行监控与告警的判断流程（示意）</w:t>
      </w:r>
    </w:p>
    <w:p>
      <w:pPr>
        <w:ind w:firstLine="420"/>
      </w:pPr>
      <w:r>
        <w:t>日志的内容应当足以还原每一次运行的过程。表11-5列出了运行日志的主要字段。其中，“状态”一栏应当区分成功、失败与跳过三种情况，因为跳过的步骤若被当作成功，就会掩盖问题。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表11-5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pPr>
        <w:pStyle w:val="Heading3"/>
      </w:pPr>
      <w:r>
        <w:t>11.3.2 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pPr>
        <w:pStyle w:val="Heading3"/>
      </w:pPr>
      <w:r>
        <w:t>11.3.3 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pPr>
        <w:pStyle w:val="Heading3"/>
      </w:pPr>
      <w:r>
        <w:t>11.3.4 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-6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表11-6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pPr>
        <w:pStyle w:val="Heading3"/>
      </w:pPr>
      <w:r>
        <w:t>11.3.5 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pPr>
        <w:pStyle w:val="Heading3"/>
      </w:pPr>
      <w:r>
        <w:t>11.3.6 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pPr>
        <w:pStyle w:val="Heading3"/>
      </w:pPr>
      <w:r>
        <w:t>11.3.7 流程的定期复核</w:t>
      </w:r>
    </w:p>
    <w:p>
      <w:pPr>
        <w:ind w:firstLine="420"/>
      </w:pPr>
      <w:r>
        <w:t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pPr>
        <w:ind w:firstLine="420"/>
      </w:pPr>
      <w:r>
        <w:t>复核的内容，除了运行是否正常，还应包括数据源有没有变化、字段名称是否仍然一致、输出的统计口径是否仍与任务要求相符。可以每学期固定一次，并在复核记录中写明检查的日期与结论。</w:t>
      </w:r>
    </w:p>
    <w:p>
      <w:pPr>
        <w:pStyle w:val="Heading3"/>
      </w:pPr>
      <w:r>
        <w:t>11.3.8 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pPr>
        <w:pStyle w:val="Heading3"/>
      </w:pPr>
      <w:r>
        <w:t>11.3.9 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图11-8展示了一段时间内周报流程每日的输出条数（示例数据）。第10至12天的输出持续为零，而运行状态仍显示为“成功”，这说明运行状态显示“成功”并不等于结果正确，监控时还应结合输出量等业务指标。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周报流程每日输出条数与运行状态（示例数据）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pStyle w:val="Heading3"/>
      </w:pPr>
      <w:r>
        <w:t>11.4.1 实训的任务与流程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-5）；一份告警级别的设计（参照表11-6）；以及一份不少于八百字的作品说明。</w:t>
      </w:r>
    </w:p>
    <w:p>
      <w:pPr>
        <w:ind w:firstLine="420"/>
      </w:pPr>
      <w:r>
        <w:t>实训可以按照图11-9所示的流程进行。与前面的实训一样，这一顺序不宜颠倒。若先搭建完成再考虑校验与确认，常见的结果是流程已经在真实数据上运行，错误的结果已经产生，再补救往往十分困难。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自动化工作流实训的主要流程（示意）</w:t>
      </w:r>
    </w:p>
    <w:p>
      <w:pPr>
        <w:pStyle w:val="Heading3"/>
      </w:pPr>
      <w:r>
        <w:t>11.4.2 评分量规的理解</w:t>
      </w:r>
    </w:p>
    <w:p>
      <w:pPr>
        <w:ind w:firstLine="420"/>
      </w:pPr>
      <w:r>
        <w:t>实训的评价可以参考表11-7所示的量规。评价重点关注任务拆分是否清楚、数据格式是否一致、校验与告警是否有效，以及人工确认是否真正落实。</w:t>
      </w:r>
    </w:p>
    <w:p>
      <w:pPr>
        <w:ind w:firstLine="420"/>
      </w:pPr>
      <w:r>
        <w:t>量规应当把“流程能否运行”与“每个步骤能否被人检查”分开评价。能够运行、却无法解释其中每一步的流程，不应在量规中得到满分。</w:t>
      </w:r>
    </w:p>
    <w:p>
      <w:pPr>
        <w:ind w:firstLine="420"/>
      </w:pPr>
      <w:r>
        <w:t>量规中的每一项都应当对应可以观察到的证据，例如流程图中是否有人工确认节点，或一次模拟失败后是否有通知。只写“流程合理”之类的描述，无法帮助评分者与学习者判断。</w:t>
      </w:r>
    </w:p>
    <w:p>
      <w:pPr>
        <w:jc w:val="center"/>
      </w:pPr>
      <w:r>
        <w:rPr>
          <w:b/>
          <w:sz w:val="21"/>
        </w:rPr>
        <w:t>表11-7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pStyle w:val="Heading3"/>
      </w:pPr>
      <w:r>
        <w:t>11.4.3 常见问题与核心原则</w:t>
      </w:r>
    </w:p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pPr>
        <w:pStyle w:val="Heading3"/>
      </w:pPr>
      <w:r>
        <w:t>11.4.4 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-5，将每一次修改视为一条独立的运行记录。</w:t>
      </w:r>
    </w:p>
    <w:p>
      <w:pPr>
        <w:pStyle w:val="Heading3"/>
      </w:pPr>
      <w:r>
        <w:t>11.4.5 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pPr>
        <w:pStyle w:val="Heading3"/>
      </w:pPr>
      <w:r>
        <w:t>11.4.6 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pPr>
        <w:pStyle w:val="Heading3"/>
      </w:pPr>
      <w:r>
        <w:t>11.4.7 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pPr>
        <w:pStyle w:val="Heading3"/>
      </w:pPr>
      <w:r>
        <w:t>11.4.8 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pPr>
        <w:pStyle w:val="Heading3"/>
      </w:pPr>
      <w:r>
        <w:t>11.4.9 实训的起步与交付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图11-10　本章结构</w:t>
      </w:r>
    </w:p>
    <w:p>
      <w:pPr>
        <w:ind w:firstLine="420"/>
      </w:pPr>
      <w:r>
        <w:t>图11-11概括了本章的主要知识点及其关系，可以作为复习时的索引。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244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图11-11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