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pStyle w:val="Heading3"/>
      </w:pPr>
      <w:r>
        <w:t>12.1.1 规范的层次与依据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pPr>
        <w:pStyle w:val="Heading3"/>
      </w:pPr>
      <w:r>
        <w:t>12.1.2 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pPr>
        <w:pStyle w:val="Heading3"/>
      </w:pPr>
      <w:r>
        <w:t>12.1.3 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ind w:firstLine="420"/>
      </w:pPr>
      <w:r>
        <w:t>这些情形的共同点是，违规往往并非出于恶意，而是源于对规则的不了解。因此，先知道有哪些红线，比事后补救更重要。</w:t>
      </w:r>
    </w:p>
    <w:p>
      <w:pPr>
        <w:ind w:firstLine="420"/>
      </w:pPr>
      <w:r>
        <w:t>对照表12-2检查时，可以先看行为是否涉及他人的信息或权利，再看是否涉及对外发布。两类问题一旦同时出现，风险通常最高。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pPr>
        <w:pStyle w:val="Heading3"/>
      </w:pPr>
      <w:r>
        <w:t>12.1.4 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pPr>
        <w:pStyle w:val="Heading3"/>
      </w:pPr>
      <w:r>
        <w:t>12.1.5 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>点题：规范是有层次的，遵守规范的第一步，是知道哪些规范与自己有关。主动查询、主动说明，既是对规则的尊重，也是对团队与公众的负责。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内容标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图12-3　小何为展览海报添加内容标识（卡通示意）</w:t>
      </w:r>
    </w:p>
    <w:p>
      <w:pPr>
        <w:pStyle w:val="Heading3"/>
      </w:pPr>
      <w:r>
        <w:t>12.2.1 AI生成内容与标识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AI生成内容从生成到留存的标识流程（示意）</w:t>
      </w:r>
    </w:p>
    <w:p>
      <w:pPr>
        <w:pStyle w:val="Heading3"/>
      </w:pPr>
      <w:r>
        <w:t>12.2.2 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jc w:val="center"/>
      </w:pPr>
      <w:r>
        <w:rPr>
          <w:b/>
          <w:sz w:val="21"/>
        </w:rPr>
        <w:t>表12-4　深度伪造的三类危害与使用者的应对（示例）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危害方向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使用者应当怎样做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侵害个人权益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将他人的面容或声音用于制造虚假言论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不制作、不转发未经本人同意的形象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用于诈骗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冒充亲友的声音要求转账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涉及转账时，通过其他渠道核实对方身份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扩散虚假信息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使真实事件与虚构内容难以区分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转发前先核查来源，不把证据不足的内容当作事实</w:t>
            </w:r>
          </w:p>
        </w:tc>
      </w:tr>
    </w:tbl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pPr>
        <w:pStyle w:val="Heading3"/>
      </w:pPr>
      <w:r>
        <w:t>12.2.3 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-5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对来源不明的音视频与图片的基本核查流程（示意）</w:t>
      </w:r>
    </w:p>
    <w:p>
      <w:pPr>
        <w:ind w:firstLine="420"/>
      </w:pPr>
      <w:r>
        <w:t>表12-5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表12-5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pPr>
        <w:pStyle w:val="Heading3"/>
      </w:pPr>
      <w:r>
        <w:t>12.2.4 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pPr>
        <w:ind w:firstLine="420"/>
      </w:pPr>
      <w:r>
        <w:t>标识的位置也应当与内容相称。短视频应在画面的固定位置或开头的字幕中给出标识；图片标识可以放在图片的说明文字中；仅在文章末尾注明“内容由AI生成”，而正文没有任何提示，读者很可能无法注意到。</w:t>
      </w:r>
    </w:p>
    <w:p>
      <w:pPr>
        <w:pStyle w:val="Heading3"/>
      </w:pPr>
      <w:r>
        <w:t>12.2.5 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>点题：转发也是一种发布。面对来源不明的内容，先核查、再转发，是每一位使用者都应当承担的基本责任，也是维护信息环境的一种方式。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【练习】请找一张来源不明的图片，按照表12-5的线索进行核查，并写出你的结论以及结论所依据的证据和局限。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pStyle w:val="Heading3"/>
      </w:pPr>
      <w:r>
        <w:t>12.3.1 偏见与公平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-6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真实性与授权核对的讨论，同样提醒我们，生成结果并不等于客观的记录，也可能偏离事实或侵犯他人的权益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pPr>
        <w:pStyle w:val="Heading3"/>
      </w:pPr>
      <w:r>
        <w:t>12.3.2 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pPr>
        <w:ind w:firstLine="420"/>
      </w:pPr>
      <w:r>
        <w:t>可解释性的要求并不意味着使用者要弄懂模型的内部机制，而是要能说明：结论依据了哪些材料，哪些步骤由人核实，哪些判断仍然存在不确定性。能说明这三点，已经能够满足大多数课程与工作场景的需要。</w:t>
      </w:r>
    </w:p>
    <w:p>
      <w:pPr>
        <w:pStyle w:val="Heading3"/>
      </w:pPr>
      <w:r>
        <w:t>12.3.3 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第十条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pPr>
        <w:pStyle w:val="Heading3"/>
      </w:pPr>
      <w:r>
        <w:t>12.3.4 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pPr>
        <w:pStyle w:val="Heading3"/>
      </w:pPr>
      <w:r>
        <w:t>12.3.5 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>点题：AI的结论会继承数据中的不公正。承认偏见的存在，并通过检验与人工复核加以修正，是技术应用中不可缺少的伦理责任。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pStyle w:val="Heading3"/>
      </w:pPr>
      <w:r>
        <w:t>12.4.1 声明的基本要素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-6列出了一份完整的AI使用声明通常应当包括的要素。</w:t>
      </w:r>
    </w:p>
    <w:p>
      <w:pPr>
        <w:jc w:val="center"/>
      </w:pPr>
      <w:r>
        <w:rPr>
          <w:b/>
          <w:sz w:val="21"/>
        </w:rPr>
        <w:t>表12-6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pPr>
        <w:pStyle w:val="Heading3"/>
      </w:pPr>
      <w:r>
        <w:t>12.4.2 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pPr>
        <w:ind w:firstLine="420"/>
      </w:pPr>
      <w:r>
        <w:t>核实的方法是逐条在数据库或原文中找到该文献，并核对作者、年份、刊名与页码。找不到的文献应当删除，而不能为了让参考文献“看起来完整”而保留。</w:t>
      </w:r>
    </w:p>
    <w:p>
      <w:pPr>
        <w:pStyle w:val="Heading3"/>
      </w:pPr>
      <w:r>
        <w:t>12.4.3 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>较好的声明应当对照表12-6的要素逐项写出：工具名称与版本、使用的环节、AI输出如何被修改与核实，以及作者独立完成的部分。声明不需要很长，但应当使读者能够据此判断作品的形成过程。</w:t>
      </w:r>
    </w:p>
    <w:p>
      <w:pPr>
        <w:pStyle w:val="Heading3"/>
      </w:pPr>
      <w:r>
        <w:t>12.4.4 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pPr>
        <w:pStyle w:val="Heading3"/>
      </w:pPr>
      <w:r>
        <w:t>12.4.5 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【练习】请为你最近完成的一份作业或报告，写一份AI使用声明，按照表12-6的要素逐项填写，并检查声明与实际过程是否一致。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pStyle w:val="Heading3"/>
      </w:pPr>
      <w:r>
        <w:t>12.5.1 实训的任务与流程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实训可以按照图12-7所示的流程进行。与前面的实训一样，这一顺序不宜颠倒。若先写规范、后梳理场景，常见的结果是规范与实际使用脱节，无法真正指导行为。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个人AI使用规范实训的主要流程（示意）</w:t>
      </w:r>
    </w:p>
    <w:p>
      <w:pPr>
        <w:pStyle w:val="Heading3"/>
      </w:pPr>
      <w:r>
        <w:t>12.5.2 评分量规的理解</w:t>
      </w:r>
    </w:p>
    <w:p>
      <w:pPr>
        <w:ind w:firstLine="420"/>
      </w:pPr>
      <w:r>
        <w:t>实训的评价可以参考表12-7所示的量规。评价重点关注规范是否针对具体场景、要求是否可以执行、是否有证据表明规范得到了实际运用，以及说明是否如实。</w:t>
      </w:r>
    </w:p>
    <w:p>
      <w:pPr>
        <w:ind w:firstLine="420"/>
      </w:pPr>
      <w:r>
        <w:t>量规应当区分“规范是否写清楚”与“规范是否能被执行”两个维度。只写原则、没有可执行规则的规范，即使文字再完整，也不应得到较高的评价。</w:t>
      </w:r>
    </w:p>
    <w:p>
      <w:pPr>
        <w:jc w:val="center"/>
      </w:pPr>
      <w:r>
        <w:rPr>
          <w:b/>
          <w:sz w:val="21"/>
        </w:rPr>
        <w:t>表12-7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pStyle w:val="Heading3"/>
      </w:pPr>
      <w:r>
        <w:t>12.5.3 常见问题与核心原则</w:t>
      </w:r>
    </w:p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pPr>
        <w:pStyle w:val="Heading3"/>
      </w:pPr>
      <w:r>
        <w:t>12.5.4 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pPr>
        <w:pStyle w:val="Heading3"/>
      </w:pPr>
      <w:r>
        <w:t>12.5.5 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pPr>
        <w:pStyle w:val="Heading3"/>
      </w:pPr>
      <w:r>
        <w:t>12.5.6 实训的起步与修订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>点题：伦理原则只有转化为可以执行的规则，才能真正发挥作用。把原则落实到具体操作，是每一个使用者从“知道”走向“做到”的过程。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图12-8　本章结构</w:t>
      </w:r>
    </w:p>
    <w:p>
      <w:pPr>
        <w:ind w:firstLine="420"/>
      </w:pPr>
      <w:r>
        <w:t>图12-9概括了本章的主要知识点及其关系，可以作为复习时的索引。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图12-9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