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食堂排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图13-2　小何在食堂排队调研（卡通示意）</w:t>
      </w:r>
    </w:p>
    <w:p>
      <w:pPr>
        <w:pStyle w:val="Heading3"/>
      </w:pPr>
      <w:r>
        <w:t>13.1.1 选题的来源与评价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pPr>
        <w:pStyle w:val="Heading3"/>
      </w:pPr>
      <w:r>
        <w:t>13.1.2 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pPr>
        <w:pStyle w:val="Heading3"/>
      </w:pPr>
      <w:r>
        <w:t>13.1.3 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>点题：选题既要有意义，也要有边界。涉及他人的研究，应当把对他人的保护放在选题的第一位，而不是事后补救。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pStyle w:val="Heading3"/>
      </w:pPr>
      <w:r>
        <w:t>13.2.1 工具组合的核心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-4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pPr>
        <w:pStyle w:val="Heading3"/>
      </w:pPr>
      <w:r>
        <w:t>13.2.2 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pPr>
        <w:pStyle w:val="Heading3"/>
      </w:pPr>
      <w:r>
        <w:t>13.2.3 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pPr>
        <w:ind w:firstLine="420"/>
      </w:pPr>
      <w:r>
        <w:t>留痕的内容应包括每次会议的决定、每一版方案的改动原因，以及数据的采集时间与版本。这样，后来加入的成员也能了解项目为何走到现在的状态。</w:t>
      </w:r>
    </w:p>
    <w:p>
      <w:pPr>
        <w:pStyle w:val="Heading3"/>
      </w:pPr>
      <w:r>
        <w:t>13.2.4 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jc w:val="center"/>
      </w:pPr>
      <w:r>
        <w:rPr>
          <w:b/>
          <w:sz w:val="21"/>
        </w:rPr>
        <w:t>表13-3　综合项目数据来源的比较（示例）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举例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需要注意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自己收集的一手数据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问卷、观察、访谈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与研究问题贴合，可控性强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样本可能偏向特定群体，需写明样本来源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他人发布的公开数据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学校公告、政府统计、开放数据平台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来源权威，便于追溯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口径与时效未必符合项目需要，需核对统计范围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AI生成或整理的数据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由AI工具生成的示例数据或整理结果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获取快，便于测试流程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不能直接当作事实来源，需说明其性质并核实</w:t>
            </w:r>
          </w:p>
        </w:tc>
      </w:tr>
    </w:tbl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pPr>
        <w:pStyle w:val="Heading3"/>
      </w:pPr>
      <w:r>
        <w:t>13.2.5 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>点题：方案的价值，在于让团队中的每一个人都能理解并检验过程。真正的合作，需要把“我知道”转化为“大家都能看到”。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pStyle w:val="Heading3"/>
      </w:pPr>
      <w:r>
        <w:t>13.3.1 HTML与Markdown的选择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pPr>
        <w:pStyle w:val="Heading3"/>
      </w:pPr>
      <w:r>
        <w:t>13.3.2 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pPr>
        <w:pStyle w:val="Heading3"/>
      </w:pPr>
      <w:r>
        <w:t>13.3.3 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展示之后，应当组织同伴互评。互评的目的，是从他人的视角发现项目中自己不易察觉的问题，例如结论是否清楚、图表是否易于理解、网页是否便于操作。图13-5展示了展示、互评与修改之间的循环。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-4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表13-4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pPr>
        <w:pStyle w:val="Heading3"/>
      </w:pPr>
      <w:r>
        <w:t>13.3.4 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pPr>
        <w:ind w:firstLine="420"/>
      </w:pPr>
      <w:r>
        <w:t>归档时，应当保留每一版成果及其对应的互评记录，并在文件名或说明中注明版本号与日期。这样，若展示之后出现疑问，团队可以追溯当时的依据。</w:t>
      </w:r>
    </w:p>
    <w:p>
      <w:pPr>
        <w:pStyle w:val="Heading3"/>
      </w:pPr>
      <w:r>
        <w:t>13.3.5 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>点题：互评的目的是共同改进，而不是相互挑剔。提出意见时应当针对作品本身，做到具体、客观，并给出可以改进的方向。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【练习】请用HTML或Markdown整理你的项目成果，并请一位同学依据表13-4的量规进行互评，记录互评意见，并说明你采纳与未采纳的意见及理由。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pStyle w:val="Heading3"/>
      </w:pPr>
      <w:r>
        <w:t>13.4.1 可行性的四个方面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-6展示了这一评估的基本过程。</w:t>
      </w:r>
    </w:p>
    <w:p>
      <w:pPr>
        <w:ind w:firstLine="420"/>
      </w:pPr>
      <w:r>
        <w:t>四个方面的判断，应当以事实为基础：时间要以已完成的类似任务为参照，资源要核对实际可用的设备与账号，技术要先用小样本试做，合规要对照课程或学校的要求。凭感觉判断可行的方案，往往在中期才暴露问题。</w:t>
      </w:r>
    </w:p>
    <w:p>
      <w:pPr>
        <w:jc w:val="center"/>
      </w:pPr>
      <w:r>
        <w:rPr>
          <w:b/>
          <w:sz w:val="21"/>
        </w:rPr>
        <w:t>表13-5　方案可行性评估的四个方面（示例）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判断方法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各项工作的时间是否在期限之内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对照时间与人力估计表逐项估算，并预留余量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成员是否掌握所需的工具与方法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列出所需技能，判断能否在合理时间内学会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时间、费用与人力投入是否与成果价值相称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比较投入与预期成果，判断只完成一半时是否仍有价值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可能的问题能否被预见并有相应的应对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建立风险登记表，为每项风险指定责任人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方案可行性评估的基本过程（示意）</w:t>
      </w:r>
    </w:p>
    <w:p>
      <w:pPr>
        <w:pStyle w:val="Heading3"/>
      </w:pPr>
      <w:r>
        <w:t>13.4.2 成本的估计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-6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表13-6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-6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pPr>
        <w:pStyle w:val="Heading3"/>
      </w:pPr>
      <w:r>
        <w:t>13.4.3 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pPr>
        <w:pStyle w:val="Heading3"/>
      </w:pPr>
      <w:r>
        <w:t>13.4.4 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pPr>
        <w:pStyle w:val="Heading3"/>
      </w:pPr>
      <w:r>
        <w:t>13.4.5 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-7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表13-7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pPr>
        <w:pStyle w:val="Heading3"/>
      </w:pPr>
      <w:r>
        <w:t>13.4.6 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>点题：可行性评估的目的，是让计划经得起现实的检验。提前承认不确定性、为风险准备预案，既是对团队成员时间的负责，也是对项目成果的负责。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pStyle w:val="Heading3"/>
      </w:pPr>
      <w:r>
        <w:t>13.5.1 实训的任务与流程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实训可以按照图13-7所示的流程进行。综合项目的环节较多，顺序一旦颠倒，常见的结果是先做了成果，再发现数据不可用，只能推倒重来。因此，在开始实施之前，必须先完成选题与可行性评估。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综合项目实训的主要流程（示意）</w:t>
      </w:r>
    </w:p>
    <w:p>
      <w:pPr>
        <w:pStyle w:val="Heading3"/>
      </w:pPr>
      <w:r>
        <w:t>13.5.2 评分量规的理解</w:t>
      </w:r>
    </w:p>
    <w:p>
      <w:pPr>
        <w:ind w:firstLine="420"/>
      </w:pPr>
      <w:r>
        <w:t>实训的评价可以参考表13-8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ind w:firstLine="420"/>
      </w:pPr>
      <w:r>
        <w:t>量规应当把“过程是否完整”与“结论是否可信”分开评价。一个结论正确、但过程无法复现的项目，其可信度仍然有限。</w:t>
      </w:r>
    </w:p>
    <w:p>
      <w:pPr>
        <w:ind w:firstLine="420"/>
      </w:pPr>
      <w:r>
        <w:t>评分时，可以请一位未参与项目的同学依照量规独立打分，再与自评比较。两者差距较大的项目，往往说明量规中的某些描述不够清楚，或作品说明没有讲明白。</w:t>
      </w:r>
    </w:p>
    <w:p>
      <w:pPr>
        <w:jc w:val="center"/>
      </w:pPr>
      <w:r>
        <w:rPr>
          <w:b/>
          <w:sz w:val="21"/>
        </w:rPr>
        <w:t>表13-8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pStyle w:val="Heading3"/>
      </w:pPr>
      <w:r>
        <w:t>13.5.3 常见问题与核心原则</w:t>
      </w:r>
    </w:p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pPr>
        <w:pStyle w:val="Heading3"/>
      </w:pPr>
      <w:r>
        <w:t>13.5.4 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章12.4节的使用声明保持一致。</w:t>
      </w:r>
    </w:p>
    <w:p>
      <w:pPr>
        <w:pStyle w:val="Heading3"/>
      </w:pPr>
      <w:r>
        <w:t>13.5.5 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pPr>
        <w:pStyle w:val="Heading3"/>
      </w:pPr>
      <w:r>
        <w:t>13.5.6 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pPr>
        <w:pStyle w:val="Heading3"/>
      </w:pPr>
      <w:r>
        <w:t>13.5.7 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pPr>
        <w:pStyle w:val="Heading3"/>
      </w:pPr>
      <w:r>
        <w:t>13.5.8 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pPr>
        <w:ind w:firstLine="420"/>
      </w:pPr>
      <w:r>
        <w:t>自查时，可以从作品说明出发，逐段追问：每一个结论能否在附件中找到依据？每一张图表能否说明数据来源？项目中提到的每一位成员的贡献，能否在分工记录中找到对应？</w:t>
      </w:r>
    </w:p>
    <w:p>
      <w:pPr>
        <w:pStyle w:val="Heading3"/>
      </w:pPr>
      <w:r>
        <w:t>13.5.9 实训的起步与偏离记录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>点题：成果的可信，来自于敢于更正。发现错误并公开改正，是学术与实践中最重要的诚信品质之一，也是综合项目最值得珍视的收获。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图13-8　本章结构</w:t>
      </w:r>
    </w:p>
    <w:p>
      <w:pPr>
        <w:ind w:firstLine="420"/>
      </w:pPr>
      <w:r>
        <w:t>图13-9概括了本章的主要知识点及其关系，可以作为复习时的索引。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图13-9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