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 xml:space="preserve">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 xml:space="preserve"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 xml:space="preserve">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 xml:space="preserve"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 xml:space="preserve">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-7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 xml:space="preserve">图10-8将智能体的操作按可逆性与影响范围分为四个区域，与表10-4的四个权限级别相对应。越靠右下的操作，一旦执行就越难挽回，所需的控制也越严格。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图10-8　智能体操作的权限分级矩阵（示例）</w:t>
      </w:r>
    </w:p>
    <w:p>
      <w:pPr>
        <w:ind w:firstLine="420"/>
      </w:pPr>
      <w:r>
        <w:t xml:space="preserve">人工确认的内容还应当包括撤销方式。对于可以撤销的操作，应当说明撤销的步骤；对于无法撤销的操作，例如已经对外发出的消息，确认环节就是唯一的保护。因此，图10-8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 xml:space="preserve">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实训可以按照图10-9所示的流程进行。与前面章节一样，它的顺序不宜颠倒。若先开放全部权限再考虑确认，常见的结果是权限已经被用于不该执行的操作，之后再补救就十分困难。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 xml:space="preserve">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本章结构</w:t>
      </w:r>
    </w:p>
    <w:p>
      <w:pPr>
        <w:ind w:firstLine="420"/>
      </w:pPr>
      <w:r>
        <w:t xml:space="preserve">图10-11概括了本章的主要知识点及其关系，可以作为复习时的索引。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图10-11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