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r>
        <w:rPr>
          <w:b/>
        </w:rPr>
        <w:t xml:space="preserve">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 xml:space="preserve"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是否适合自动化”的一列相对应。</w:t>
      </w:r>
    </w:p>
    <w:p>
      <w:r>
        <w:rPr>
          <w:b/>
        </w:rPr>
        <w:t>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r>
        <w:rPr>
          <w:b/>
        </w:rPr>
        <w:t>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r>
        <w:rPr>
          <w:b/>
        </w:rPr>
        <w:t>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r>
        <w:rPr>
          <w:b/>
        </w:rPr>
        <w:t>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 xml:space="preserve"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 xml:space="preserve">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-4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图11-4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r>
        <w:rPr>
          <w:b/>
        </w:rPr>
        <w:t>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表格数据转换为JSON并进入接口的过程（示意）</w:t>
      </w:r>
    </w:p>
    <w:p>
      <w:pPr>
        <w:ind w:firstLine="420"/>
      </w:pPr>
      <w:r>
        <w:t>图11-5展示了从表格导出到写入结果的完整过程。可以看到，每一次数据交换都经历了格式转换与检查两个环节，任何一环出现问题，都应当在日志中留下记录。</w:t>
      </w:r>
    </w:p>
    <w:p>
      <w:r>
        <w:rPr>
          <w:b/>
        </w:rPr>
        <w:t>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r>
        <w:rPr>
          <w:b/>
        </w:rPr>
        <w:t>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r>
        <w:rPr>
          <w:b/>
        </w:rPr>
        <w:t>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r>
        <w:rPr>
          <w:b/>
        </w:rPr>
        <w:t xml:space="preserve">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r>
        <w:rPr>
          <w:b/>
        </w:rPr>
        <w:t>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r>
        <w:rPr>
          <w:b/>
        </w:rPr>
        <w:t>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 xml:space="preserve">数据结构的字段命名也需要规范。字段名称应当简短而无歧义，例如使用“submitted”表示提交数量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 xml:space="preserve">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-6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运行监控与告警的判断流程（示意）</w:t>
      </w:r>
    </w:p>
    <w:p>
      <w:pPr>
        <w:ind w:firstLine="420"/>
      </w:pPr>
      <w:r>
        <w:t>日志的内容应当足以还原每一次运行的过程。表11-4列出了运行日志的主要字段。其中，“状态”一栏应当区分成功、失败与跳过三种情况，因为跳过的步骤若被当作成功，就会掩盖问题。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表11-4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r>
        <w:rPr>
          <w:b/>
        </w:rPr>
        <w:t>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r>
        <w:rPr>
          <w:b/>
        </w:rPr>
        <w:t>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r>
        <w:rPr>
          <w:b/>
        </w:rPr>
        <w:t>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-5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表11-5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r>
        <w:rPr>
          <w:b/>
        </w:rPr>
        <w:t>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r>
        <w:rPr>
          <w:b/>
        </w:rPr>
        <w:t xml:space="preserve">流程的版本与回滚</w:t>
      </w:r>
    </w:p>
    <w:p>
      <w:pPr>
        <w:ind w:firstLine="420"/>
      </w:pPr>
      <w:r>
        <w:t xml:space="preserve">流程在运行中经常需要修改，例如增加一个字段、调整一条判断规则，或者更换数据来源。每一次修改都应当形成新的版本，并记录修改的原因、修改的人以及修改的时间。与本节前文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r>
        <w:rPr>
          <w:b/>
        </w:rPr>
        <w:t xml:space="preserve">流程的定期复核</w:t>
      </w:r>
    </w:p>
    <w:p>
      <w:pPr>
        <w:ind w:firstLine="420"/>
      </w:pPr>
      <w:r>
        <w:t xml:space="preserve"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r>
        <w:rPr>
          <w:b/>
        </w:rPr>
        <w:t>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r>
        <w:rPr>
          <w:b/>
        </w:rPr>
        <w:t xml:space="preserve">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 xml:space="preserve">图11-7展示了一段时间内周报流程每日的输出条数（示例数据）。第10至12天的输出持续为零，而运行状态仍显示为“成功”，这说明运行状态显示“成功”并不等于结果正确，监控时还应结合输出量等业务指标。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图11-7　周报流程每日输出条数与运行状态（示例数据）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 xml:space="preserve">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-4）；一份告警级别的设计（参照表11-5）；以及一份不少于八百字的作品说明。</w:t>
      </w:r>
    </w:p>
    <w:p>
      <w:pPr>
        <w:ind w:firstLine="420"/>
      </w:pPr>
      <w:r>
        <w:t>实训可以按照图11-8所示的流程进行。与前面的实训一样，这一顺序不宜颠倒。若先搭建完成再考虑校验与确认，常见的结果是流程已经在真实数据上运行，错误的结果已经产生，再补救往往十分困难。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自动化工作流实训的主要流程（示例）</w:t>
      </w:r>
    </w:p>
    <w:p>
      <w:pPr>
        <w:ind w:firstLine="420"/>
      </w:pPr>
      <w:r>
        <w:t>实训的评价可以参考表11-6所示的量规。评价重点关注任务拆分是否清楚、数据格式是否一致、校验与告警是否有效，以及人工确认是否真正落实。</w:t>
      </w:r>
    </w:p>
    <w:p>
      <w:pPr>
        <w:jc w:val="center"/>
      </w:pPr>
      <w:r>
        <w:rPr>
          <w:b/>
          <w:sz w:val="21"/>
        </w:rPr>
        <w:t>表11-6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r>
        <w:rPr>
          <w:b/>
        </w:rPr>
        <w:t>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-4，将每一次修改视为一条独立的运行记录。</w:t>
      </w:r>
    </w:p>
    <w:p>
      <w:r>
        <w:rPr>
          <w:b/>
        </w:rPr>
        <w:t>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r>
        <w:rPr>
          <w:b/>
        </w:rPr>
        <w:t>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 xml:space="preserve">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本章结构</w:t>
      </w:r>
    </w:p>
    <w:p>
      <w:pPr>
        <w:ind w:firstLine="420"/>
      </w:pPr>
      <w:r>
        <w:t xml:space="preserve">图11-10概括了本章的主要知识点及其关系，可以作为复习时的索引。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图11-10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